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Keohane Sean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CABOT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SEAPORT LANE,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CABOT CORP</w:t>
              </w:r>
            </w:hyperlink>
            <w:r>
              <w:rPr/>
              <w:t xml:space="preserve"> [ </w:t>
            </w:r>
            <w:r>
              <w:rPr>
                <w:rFonts w:ascii="Times;serif" w:hAnsi="Times;serif"/>
                <w:color w:val="0000FF"/>
                <w:sz w:val="24"/>
                <w:shd w:fill="FFFFFF" w:val="clear"/>
              </w:rPr>
              <w:t>CBT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49"/>
        <w:gridCol w:w="918"/>
        <w:gridCol w:w="791"/>
        <w:gridCol w:w="609"/>
        <w:gridCol w:w="325"/>
        <w:gridCol w:w="868"/>
        <w:gridCol w:w="377"/>
        <w:gridCol w:w="1001"/>
        <w:gridCol w:w="1415"/>
        <w:gridCol w:w="912"/>
        <w:gridCol w:w="14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5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5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91,923</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62.24</w:t>
            </w:r>
          </w:p>
        </w:tc>
        <w:tc>
          <w:tcPr>
            <w:tcW w:w="1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496,057</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91,923</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86.4053</w:t>
            </w:r>
            <w:r>
              <w:rPr>
                <w:rFonts w:ascii="Times;serif" w:hAnsi="Times;serif"/>
                <w:color w:val="008000"/>
                <w:position w:val="7"/>
                <w:sz w:val="16"/>
                <w:sz w:val="20"/>
                <w:shd w:fill="FFFFFF" w:val="clear"/>
              </w:rPr>
              <w:t>(1)</w:t>
            </w:r>
          </w:p>
        </w:tc>
        <w:tc>
          <w:tcPr>
            <w:tcW w:w="1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404,134</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14,263.7411</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the Trustee for the Corporation's 401(k) Plan</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62.24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91,923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11/09/2027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sale price. These shares were sold in multiple transactions at prices ranging from $85.970 to $86.815, inclusive. The reporting person undertakes to provide to the staff of the Securities and Exchange Commission, the Corporation or any security holder of the Corporation,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91,923 shares were subject to the option. The option vested over a three year period as follows: 30% on November 10, 2018, 30% on November 10, 2019, and 40% on November 10, 2020.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Jennifer M. Lombardi, pursuant to a power of attorney from Sean D. Keohane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5737" TargetMode="External"/><Relationship Id="rId5" Type="http://schemas.openxmlformats.org/officeDocument/2006/relationships/hyperlink" Target="http://www.sec.gov/cgi-bin/browse-edgar?action=getcompany&amp;CIK=0000016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3810</Characters>
  <CharactersWithSpaces>4429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