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2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ind w:left="5424"/>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29" w:lineRule="exact"/>
        <w:rPr>
          <w:sz w:val="24"/>
          <w:szCs w:val="24"/>
          <w:color w:val="auto"/>
        </w:rPr>
      </w:pPr>
    </w:p>
    <w:p>
      <w:pPr>
        <w:jc w:val="center"/>
        <w:ind w:right="-1004"/>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sz w:val="20"/>
          <w:szCs w:val="20"/>
          <w:color w:val="auto"/>
        </w:rPr>
        <w:tab/>
      </w:r>
      <w:r>
        <w:rPr>
          <w:rFonts w:ascii="Times New Roman" w:cs="Times New Roman" w:eastAsia="Times New Roman" w:hAnsi="Times New Roman"/>
          <w:sz w:val="17"/>
          <w:szCs w:val="17"/>
          <w:b w:val="1"/>
          <w:b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3816985</wp:posOffset>
            </wp:positionH>
            <wp:positionV relativeFrom="paragraph">
              <wp:posOffset>-5080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5" w:lineRule="exact"/>
        <w:rPr>
          <w:sz w:val="24"/>
          <w:szCs w:val="24"/>
          <w:color w:val="auto"/>
        </w:rPr>
      </w:pPr>
    </w:p>
    <w:p>
      <w:pPr>
        <w:ind w:left="3844"/>
        <w:spacing w:after="0"/>
        <w:rPr>
          <w:sz w:val="20"/>
          <w:szCs w:val="20"/>
          <w:color w:val="auto"/>
        </w:rPr>
      </w:pPr>
      <w:r>
        <w:rPr>
          <w:rFonts w:ascii="Times New Roman" w:cs="Times New Roman" w:eastAsia="Times New Roman" w:hAnsi="Times New Roman"/>
          <w:sz w:val="18"/>
          <w:szCs w:val="18"/>
          <w:b w:val="1"/>
          <w:bCs w:val="1"/>
          <w:color w:val="auto"/>
        </w:rPr>
        <w:t>Commission file number (of issuer): 1-5667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21" w:lineRule="exact"/>
        <w:rPr>
          <w:rFonts w:ascii="Times New Roman" w:cs="Times New Roman" w:eastAsia="Times New Roman" w:hAnsi="Times New Roman"/>
          <w:sz w:val="18"/>
          <w:szCs w:val="18"/>
          <w:color w:val="auto"/>
        </w:rPr>
      </w:pPr>
    </w:p>
    <w:p>
      <w:pPr>
        <w:ind w:left="48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Cabot 401(k) Plan</w:t>
      </w:r>
    </w:p>
    <w:p>
      <w:pPr>
        <w:spacing w:after="0" w:line="25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Cabot Corporation</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Two Seaport Lane, Suite 1400</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Boston, Massachusetts 02210-2019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6"/>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Report of Independent Registered Public Accounting Firm</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45"/>
        </w:trPr>
        <w:tc>
          <w:tcPr>
            <w:tcW w:w="45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740" w:type="dxa"/>
            <w:vAlign w:val="bottom"/>
            <w:gridSpan w:val="6"/>
          </w:tcPr>
          <w:p>
            <w:pPr>
              <w:spacing w:after="0"/>
              <w:rPr>
                <w:sz w:val="24"/>
                <w:szCs w:val="24"/>
                <w:color w:val="auto"/>
              </w:rPr>
            </w:pPr>
          </w:p>
        </w:tc>
        <w:tc>
          <w:tcPr>
            <w:tcW w:w="1720" w:type="dxa"/>
            <w:vAlign w:val="bottom"/>
          </w:tcPr>
          <w:p>
            <w:pPr>
              <w:spacing w:after="0"/>
              <w:rPr>
                <w:sz w:val="24"/>
                <w:szCs w:val="24"/>
                <w:color w:val="auto"/>
              </w:rPr>
            </w:pPr>
          </w:p>
        </w:tc>
      </w:tr>
      <w:tr>
        <w:trPr>
          <w:trHeight w:val="283"/>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Statements of Net Assets Available for Benefits as of December 31, 2025 and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4"/>
        </w:trPr>
        <w:tc>
          <w:tcPr>
            <w:tcW w:w="7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Statement of Changes in Net Assets Available for Benefits for the year ended December 31, 2025</w:t>
            </w:r>
          </w:p>
        </w:tc>
        <w:tc>
          <w:tcPr>
            <w:tcW w:w="222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7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Notes to Financial Statements as of December 31, 2025 and 2024 and for the Year Ended December 31, 2025</w:t>
            </w:r>
          </w:p>
        </w:tc>
        <w:tc>
          <w:tcPr>
            <w:tcW w:w="13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345"/>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as of December 31, 2025</w:t>
            </w:r>
          </w:p>
        </w:tc>
        <w:tc>
          <w:tcPr>
            <w:tcW w:w="1720" w:type="dxa"/>
            <w:vAlign w:val="bottom"/>
          </w:tcPr>
          <w:p>
            <w:pPr>
              <w:spacing w:after="0"/>
              <w:rPr>
                <w:sz w:val="24"/>
                <w:szCs w:val="24"/>
                <w:color w:val="auto"/>
              </w:rPr>
            </w:pPr>
          </w:p>
        </w:tc>
      </w:tr>
      <w:tr>
        <w:trPr>
          <w:trHeight w:val="283"/>
        </w:trPr>
        <w:tc>
          <w:tcPr>
            <w:tcW w:w="6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Form 5500, Schedule H, Part IV, Line 4i – Schedule of Assets (Held at End of Year)</w:t>
            </w:r>
          </w:p>
        </w:tc>
        <w:tc>
          <w:tcPr>
            <w:tcW w:w="3180" w:type="dxa"/>
            <w:vAlign w:val="bottom"/>
            <w:gridSpan w:val="3"/>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1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Exhibit Index</w:t>
            </w:r>
          </w:p>
        </w:tc>
        <w:tc>
          <w:tcPr>
            <w:tcW w:w="8180" w:type="dxa"/>
            <w:vAlign w:val="bottom"/>
            <w:gridSpan w:val="7"/>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Exhibit 23.1—Consent of Independent Registered Public Accounting Firm</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8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4560" w:type="dxa"/>
            <w:vAlign w:val="bottom"/>
            <w:tcBorders>
              <w:top w:val="single" w:sz="8" w:color="0000EE"/>
            </w:tcBorders>
            <w:gridSpan w:val="3"/>
          </w:tcPr>
          <w:p>
            <w:pPr>
              <w:spacing w:after="0"/>
              <w:rPr>
                <w:sz w:val="24"/>
                <w:szCs w:val="24"/>
                <w:color w:val="auto"/>
              </w:rPr>
            </w:pPr>
          </w:p>
        </w:tc>
        <w:tc>
          <w:tcPr>
            <w:tcW w:w="386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52" w:lineRule="exact"/>
        <w:rPr>
          <w:sz w:val="20"/>
          <w:szCs w:val="20"/>
          <w:color w:val="auto"/>
        </w:rPr>
      </w:pPr>
    </w:p>
    <w:p>
      <w:pPr>
        <w:ind w:left="424" w:right="58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supplemental schedules required by Section 2520.103-10 of the Department of Labor’s Rules and Regulations for Reporting and Disclosure under ERISA have been omitted because they are not applicable.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4"/>
          </w:cols>
          <w:pgMar w:left="436" w:top="293" w:right="4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left="8820"/>
        <w:spacing w:after="0"/>
        <w:rPr>
          <w:sz w:val="20"/>
          <w:szCs w:val="20"/>
          <w:color w:val="auto"/>
        </w:rPr>
      </w:pPr>
      <w:r>
        <w:rPr>
          <w:rFonts w:ascii="Times New Roman" w:cs="Times New Roman" w:eastAsia="Times New Roman" w:hAnsi="Times New Roman"/>
          <w:sz w:val="18"/>
          <w:szCs w:val="18"/>
          <w:color w:val="auto"/>
        </w:rPr>
        <w:t>1 Library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288540" cy="831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831850"/>
                    </a:xfrm>
                    <a:prstGeom prst="rect">
                      <a:avLst/>
                    </a:prstGeom>
                    <a:noFill/>
                  </pic:spPr>
                </pic:pic>
              </a:graphicData>
            </a:graphic>
          </wp:anchor>
        </w:drawing>
      </w:r>
    </w:p>
    <w:p>
      <w:pPr>
        <w:spacing w:after="0" w:line="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Kingston, NH 03848</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Tel: 603-658-8000</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Fax: 603-658-8070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Plan Audit Specialists</w:t>
      </w:r>
    </w:p>
    <w:p>
      <w:pPr>
        <w:spacing w:after="0" w:line="22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Trustee, Plan Administrator and Participants of the Cabot 401(k)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Cabot 401(k)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supplemental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2383155" cy="45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1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Kingston, NH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ectPr>
          <w:pgSz w:w="11900" w:h="16838" w:orient="portrait"/>
          <w:cols w:equalWidth="0" w:num="1">
            <w:col w:w="11000"/>
          </w:cols>
          <w:pgMar w:left="440" w:top="12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Cabot 401(k)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$920,270,423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$871,963,904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450,000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279,174</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3,617,716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3,393,279</w:t>
            </w:r>
          </w:p>
        </w:tc>
      </w:tr>
      <w:tr>
        <w:trPr>
          <w:trHeight w:val="230"/>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receivables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4,067,716</w:t>
            </w:r>
          </w:p>
        </w:tc>
        <w:tc>
          <w:tcPr>
            <w:tcW w:w="2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3,672,453</w:t>
            </w:r>
          </w:p>
        </w:tc>
        <w:tc>
          <w:tcPr>
            <w:tcW w:w="6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924,338,139</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875,636,357</w:t>
            </w:r>
          </w:p>
        </w:tc>
      </w:tr>
      <w:tr>
        <w:trPr>
          <w:trHeight w:val="20"/>
        </w:trPr>
        <w:tc>
          <w:tcPr>
            <w:tcW w:w="8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Cabot 401(k)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Borders>
              <w:bottom w:val="single" w:sz="8" w:color="CCEEFF"/>
            </w:tcBorders>
          </w:tcPr>
          <w:p>
            <w:pPr>
              <w:spacing w:after="0"/>
              <w:rPr>
                <w:sz w:val="14"/>
                <w:szCs w:val="14"/>
                <w:color w:val="auto"/>
              </w:rPr>
            </w:pPr>
          </w:p>
        </w:tc>
      </w:tr>
      <w:tr>
        <w:trPr>
          <w:trHeight w:val="196"/>
        </w:trPr>
        <w:tc>
          <w:tcPr>
            <w:tcW w:w="9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Additions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27,750,520</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333,280</w:t>
            </w: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78,375,585</w:t>
            </w:r>
          </w:p>
        </w:tc>
        <w:tc>
          <w:tcPr>
            <w:tcW w:w="60" w:type="dxa"/>
            <w:vAlign w:val="bottom"/>
          </w:tcPr>
          <w:p>
            <w:pPr>
              <w:spacing w:after="0"/>
              <w:rPr>
                <w:sz w:val="19"/>
                <w:szCs w:val="19"/>
                <w:color w:val="auto"/>
              </w:rPr>
            </w:pPr>
          </w:p>
        </w:tc>
      </w:tr>
      <w:tr>
        <w:trPr>
          <w:trHeight w:val="216"/>
        </w:trPr>
        <w:tc>
          <w:tcPr>
            <w:tcW w:w="99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Subtotal of additions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106,459,385</w:t>
            </w: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14,195,950</w:t>
            </w:r>
          </w:p>
        </w:tc>
      </w:tr>
      <w:tr>
        <w:trPr>
          <w:trHeight w:val="216"/>
        </w:trPr>
        <w:tc>
          <w:tcPr>
            <w:tcW w:w="9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14,589,405</w:t>
            </w:r>
          </w:p>
        </w:tc>
      </w:tr>
      <w:tr>
        <w:trPr>
          <w:trHeight w:val="216"/>
        </w:trPr>
        <w:tc>
          <w:tcPr>
            <w:tcW w:w="9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Rollovers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1,790,287</w:t>
            </w:r>
          </w:p>
        </w:tc>
      </w:tr>
      <w:tr>
        <w:trPr>
          <w:trHeight w:val="230"/>
        </w:trPr>
        <w:tc>
          <w:tcPr>
            <w:tcW w:w="99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Subtotal of contributions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30,575,642</w:t>
            </w:r>
          </w:p>
        </w:tc>
        <w:tc>
          <w:tcPr>
            <w:tcW w:w="60" w:type="dxa"/>
            <w:vAlign w:val="bottom"/>
          </w:tcPr>
          <w:p>
            <w:pPr>
              <w:spacing w:after="0"/>
              <w:rPr>
                <w:sz w:val="20"/>
                <w:szCs w:val="20"/>
                <w:color w:val="auto"/>
              </w:rPr>
            </w:pPr>
          </w:p>
        </w:tc>
      </w:tr>
      <w:tr>
        <w:trPr>
          <w:trHeight w:val="216"/>
        </w:trPr>
        <w:tc>
          <w:tcPr>
            <w:tcW w:w="99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additions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137,035,027</w:t>
            </w: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88,064,122</w:t>
            </w: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269,123</w:t>
            </w:r>
          </w:p>
        </w:tc>
        <w:tc>
          <w:tcPr>
            <w:tcW w:w="60" w:type="dxa"/>
            <w:vAlign w:val="bottom"/>
          </w:tcPr>
          <w:p>
            <w:pPr>
              <w:spacing w:after="0"/>
              <w:rPr>
                <w:sz w:val="19"/>
                <w:szCs w:val="19"/>
                <w:color w:val="auto"/>
              </w:rPr>
            </w:pPr>
          </w:p>
        </w:tc>
      </w:tr>
      <w:tr>
        <w:trPr>
          <w:trHeight w:val="216"/>
        </w:trPr>
        <w:tc>
          <w:tcPr>
            <w:tcW w:w="99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Subtotal of Deductions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88,333,245</w:t>
            </w: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Total Net increase in net assets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48,701,782</w:t>
            </w:r>
          </w:p>
        </w:tc>
        <w:tc>
          <w:tcPr>
            <w:tcW w:w="60" w:type="dxa"/>
            <w:vAlign w:val="bottom"/>
          </w:tcPr>
          <w:p>
            <w:pPr>
              <w:spacing w:after="0"/>
              <w:rPr>
                <w:sz w:val="19"/>
                <w:szCs w:val="19"/>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875,636,357</w:t>
            </w:r>
          </w:p>
        </w:tc>
        <w:tc>
          <w:tcPr>
            <w:tcW w:w="60" w:type="dxa"/>
            <w:vAlign w:val="bottom"/>
          </w:tcPr>
          <w:p>
            <w:pPr>
              <w:spacing w:after="0"/>
              <w:rPr>
                <w:sz w:val="19"/>
                <w:szCs w:val="19"/>
                <w:color w:val="auto"/>
              </w:rPr>
            </w:pPr>
          </w:p>
        </w:tc>
      </w:tr>
      <w:tr>
        <w:trPr>
          <w:trHeight w:val="216"/>
        </w:trPr>
        <w:tc>
          <w:tcPr>
            <w:tcW w:w="9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924,338,139</w:t>
            </w:r>
          </w:p>
        </w:tc>
      </w:tr>
      <w:tr>
        <w:trPr>
          <w:trHeight w:val="20"/>
        </w:trPr>
        <w:tc>
          <w:tcPr>
            <w:tcW w:w="9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7"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Cabot 401(k) Plan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Notes to Financial Statements 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 w:lineRule="exact"/>
        <w:rPr>
          <w:sz w:val="20"/>
          <w:szCs w:val="20"/>
          <w:color w:val="auto"/>
        </w:rPr>
      </w:pPr>
    </w:p>
    <w:p>
      <w:pPr>
        <w:ind w:left="444" w:right="8800" w:hanging="444"/>
        <w:spacing w:after="0" w:line="378" w:lineRule="auto"/>
        <w:tabs>
          <w:tab w:leader="none" w:pos="43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General</w:t>
      </w:r>
    </w:p>
    <w:p>
      <w:pPr>
        <w:ind w:left="444"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Cabot Corporation (“Cabot” or the “Company”) initially adopted the Cabot Corporation Employee Stock Ownership Plan (the “ESOP”) in 1988, the Cabot Retirement Incentive Savings Plan in 1994 (previously the Cabot Profit-Sharing and Savings Plan, adopted in 1952) (the “CRISP”), and the Cabot Employee Savings Plan in 1987 (the “CESP”). As of December 31, 2000, the CRISP and the CESP were merged with and into the ESOP. The combined amended and restated plan was a defined contribution plan and was renamed the Cabot Retirement Savings Plan, which had two components, a 401(k) plan and an Employee Stock Ownership Plan (“ESOP”). As of December 31, 2013, all shares under the ESOP component of the Plan have been fully allocated and the related debt repaid, and the remaining 401(k) component of the Plan was amended and renamed the Cabot 401(k) Plan (the “Plan”). The Plan is subject to provisions of the Employee Retirement Income Security Act of 1974, as amended (“ERISA”).</w:t>
      </w:r>
    </w:p>
    <w:p>
      <w:pPr>
        <w:spacing w:after="0" w:line="83" w:lineRule="exact"/>
        <w:rPr>
          <w:rFonts w:ascii="Times New Roman" w:cs="Times New Roman" w:eastAsia="Times New Roman" w:hAnsi="Times New Roman"/>
          <w:sz w:val="18"/>
          <w:szCs w:val="18"/>
          <w:b w:val="1"/>
          <w:bCs w:val="1"/>
          <w:color w:val="auto"/>
        </w:rPr>
      </w:pPr>
    </w:p>
    <w:p>
      <w:pPr>
        <w:ind w:left="444"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brief description of the Plan is provided for general information purposes only. Participants should refer to the Plan document for more complete information.</w:t>
      </w:r>
    </w:p>
    <w:p>
      <w:pPr>
        <w:spacing w:after="0" w:line="26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2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U.S. employees of the Company and its participating subsidiaries (except certain temporary and leased employees) are eligible to participate in the Plan beginning on the later of the first day of employment or the date the employee is included in an employee group which participates.</w:t>
      </w:r>
    </w:p>
    <w:p>
      <w:pPr>
        <w:spacing w:after="0" w:line="26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Contributions</w:t>
      </w:r>
    </w:p>
    <w:p>
      <w:pPr>
        <w:spacing w:after="0" w:line="121" w:lineRule="exact"/>
        <w:rPr>
          <w:rFonts w:ascii="Times New Roman" w:cs="Times New Roman" w:eastAsia="Times New Roman" w:hAnsi="Times New Roman"/>
          <w:sz w:val="18"/>
          <w:szCs w:val="18"/>
          <w:b w:val="1"/>
          <w:bCs w:val="1"/>
          <w:color w:val="auto"/>
        </w:rPr>
      </w:pPr>
    </w:p>
    <w:p>
      <w:pPr>
        <w:ind w:left="4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means of a salary reduction arrangement, a Cabot participant may make contributions to his or her account. Participants may elect to contribute up to 50% of their U.S. eligible compensation on a before-tax basis, an after-tax basis, a Roth after-tax basis or a combination thereof, subject to certain limitations under the Internal Revenue Code (the “Code”). Participants age 50 and older may make catch-up contributions. Participants may also contribute amounts representing distributions from other qualified defined benefit or defined contribution plans. Participants are automatically enrolled in the Plan if they do not make an election to contribute within 60 days of their eligibility to participate. Participants who are automatically enrolled are deemed to have made an election to make pre-tax contributions in an amount of 6% of their eligible compensation and to increase this contribution rate by 1% of employee eligible compensation each year in January, up to a maximum deferral rate of 15%. Participants may choose to opt out or change their contribution rate at any time.</w:t>
      </w:r>
    </w:p>
    <w:p>
      <w:pPr>
        <w:spacing w:after="0" w:line="29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Contributions</w:t>
      </w:r>
    </w:p>
    <w:p>
      <w:pPr>
        <w:spacing w:after="0" w:line="121" w:lineRule="exact"/>
        <w:rPr>
          <w:rFonts w:ascii="Times New Roman" w:cs="Times New Roman" w:eastAsia="Times New Roman" w:hAnsi="Times New Roman"/>
          <w:sz w:val="18"/>
          <w:szCs w:val="18"/>
          <w:b w:val="1"/>
          <w:bCs w:val="1"/>
          <w:color w:val="auto"/>
        </w:rPr>
      </w:pPr>
    </w:p>
    <w:p>
      <w:pPr>
        <w:ind w:left="444"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matching contribution is 100% up to the first 6% of eligible compensation and is made each pay period. The Plan also provides an employer matching true up contribution at year-end to ensure all participants receive a total match in the amount of the lesser of (1) 100% of the participant’s contribution for the year; or (2) 6% of the participant’s eligible compensation for the year. In addition to the match, a Company retirement contribution of 4% of eligible earnings is made each pay period. The Company match and Company retirement contributions are invested in accordance with participant allocations.</w:t>
      </w:r>
    </w:p>
    <w:p>
      <w:pPr>
        <w:spacing w:after="0" w:line="75" w:lineRule="exact"/>
        <w:rPr>
          <w:rFonts w:ascii="Times New Roman" w:cs="Times New Roman" w:eastAsia="Times New Roman" w:hAnsi="Times New Roman"/>
          <w:sz w:val="18"/>
          <w:szCs w:val="18"/>
          <w:b w:val="1"/>
          <w:bCs w:val="1"/>
          <w:color w:val="auto"/>
        </w:rPr>
      </w:pPr>
    </w:p>
    <w:p>
      <w:pPr>
        <w:ind w:left="4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discretionary contributions to participants under the terms of the Plan. No such discretionary contributions were made during the year ended December 31, 2025.</w:t>
      </w:r>
    </w:p>
    <w:p>
      <w:pPr>
        <w:spacing w:after="0" w:line="26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rFonts w:ascii="Times New Roman" w:cs="Times New Roman" w:eastAsia="Times New Roman" w:hAnsi="Times New Roman"/>
          <w:sz w:val="18"/>
          <w:szCs w:val="18"/>
          <w:b w:val="1"/>
          <w:bCs w:val="1"/>
          <w:color w:val="auto"/>
        </w:rPr>
      </w:pPr>
    </w:p>
    <w:p>
      <w:pPr>
        <w:ind w:left="444"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 accounts are maintained for each Plan participant. Each participant account is credited with the participant’s contribution, Company contributions and Plan earnings, and charged with withdrawals and an allocation of Plan losses. Allocations are based on participant earnings or account balances, as defined in the Plan. The benefit to which a participant is entitled is the benefit that can be provided from the participant’s vested account.</w:t>
      </w:r>
    </w:p>
    <w:p>
      <w:pPr>
        <w:spacing w:after="0" w:line="283"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direct the investment of their contributions into various investment options offered by the Plan including the Cabot Common Stock Fund which consists primarily of Cabot common stock.</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93" w:right="459" w:bottom="1440" w:gutter="0" w:footer="0" w:header="0"/>
        </w:sectPr>
      </w:pPr>
    </w:p>
    <w:bookmarkStart w:id="8" w:name="page9"/>
    <w:bookmarkEnd w:id="8"/>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Vesting</w:t>
      </w:r>
    </w:p>
    <w:p>
      <w:pPr>
        <w:spacing w:after="0" w:line="121" w:lineRule="exact"/>
        <w:rPr>
          <w:sz w:val="20"/>
          <w:szCs w:val="20"/>
          <w:color w:val="auto"/>
        </w:r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Each Cabot participant is at all times 100% vested in his or her contributions. All participants are at all times 100% vested in the Company match and earnings thereon, and are vested in the Company retirement contribution upon completion of 2 years of service. In addition, a participant’s entire account balance becomes 100% vested and payable upon the participant’s attainment of age 65, disability, or death.</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Distribution of Benefits</w:t>
      </w:r>
    </w:p>
    <w:p>
      <w:pPr>
        <w:spacing w:after="0" w:line="121" w:lineRule="exact"/>
        <w:rPr>
          <w:sz w:val="20"/>
          <w:szCs w:val="20"/>
          <w:color w:val="auto"/>
        </w:rPr>
      </w:pPr>
    </w:p>
    <w:p>
      <w:pPr>
        <w:ind w:left="444"/>
        <w:spacing w:after="0" w:line="255" w:lineRule="auto"/>
        <w:rPr>
          <w:sz w:val="20"/>
          <w:szCs w:val="20"/>
          <w:color w:val="auto"/>
        </w:rPr>
      </w:pPr>
      <w:r>
        <w:rPr>
          <w:rFonts w:ascii="Times New Roman" w:cs="Times New Roman" w:eastAsia="Times New Roman" w:hAnsi="Times New Roman"/>
          <w:sz w:val="18"/>
          <w:szCs w:val="18"/>
          <w:color w:val="auto"/>
        </w:rPr>
        <w:t>The benefit to which a participant is entitled is the benefit that can be provided from the participant’s vested account. Benefits may be distributed to participants upon termination of employment by reason of retirement, disability, death or other severance of employment. Participants who terminate employment and have a vested account balance of less than $1,000 will receive a lump sum distribution of 100% of their vested benefits. Distributions for participants with vested account balances greater than $1,000 but not in excess of $5,000 who terminate employment and fail to make a distribution election will be paid to an individual retirement account designated by the plan administrator. Participants who have attained age 55 may elect to receive benefit payments in cash installments or a lump sum distribution. Participants who have not attained age 55 must receive benefit payments in a lump sum distribution.</w:t>
      </w:r>
    </w:p>
    <w:p>
      <w:pPr>
        <w:spacing w:after="0" w:line="81" w:lineRule="exact"/>
        <w:rPr>
          <w:sz w:val="20"/>
          <w:szCs w:val="20"/>
          <w:color w:val="auto"/>
        </w:rPr>
      </w:pPr>
    </w:p>
    <w:p>
      <w:pPr>
        <w:ind w:left="444" w:right="80"/>
        <w:spacing w:after="0" w:line="265" w:lineRule="auto"/>
        <w:rPr>
          <w:sz w:val="20"/>
          <w:szCs w:val="20"/>
          <w:color w:val="auto"/>
        </w:rPr>
      </w:pPr>
      <w:r>
        <w:rPr>
          <w:rFonts w:ascii="Times New Roman" w:cs="Times New Roman" w:eastAsia="Times New Roman" w:hAnsi="Times New Roman"/>
          <w:sz w:val="18"/>
          <w:szCs w:val="18"/>
          <w:color w:val="auto"/>
        </w:rPr>
        <w:t xml:space="preserve">A participant may withdraw up to 100% of his or her before-tax or Roth contributions upon showing a financial hardship exists, as defined by the Plan, but only after the participant has withdrawn all other vested benefits from the Plan and the maximum loan has been made from the participant’s account. Participants may withdraw at any time any after-tax contributions made. A participant may make withdrawals from his or her entire vested account balance once the participant reaches age 59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participant may elect to defer payment of a benefit until April 1 following the year that the participant reaches age 73.</w:t>
      </w:r>
    </w:p>
    <w:p>
      <w:pPr>
        <w:spacing w:after="0" w:line="3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121" w:lineRule="exact"/>
        <w:rPr>
          <w:sz w:val="20"/>
          <w:szCs w:val="20"/>
          <w:color w:val="auto"/>
        </w:rPr>
      </w:pPr>
    </w:p>
    <w:p>
      <w:pPr>
        <w:ind w:left="444" w:right="60"/>
        <w:spacing w:after="0" w:line="256" w:lineRule="auto"/>
        <w:rPr>
          <w:sz w:val="20"/>
          <w:szCs w:val="20"/>
          <w:color w:val="auto"/>
        </w:rPr>
      </w:pPr>
      <w:r>
        <w:rPr>
          <w:rFonts w:ascii="Times New Roman" w:cs="Times New Roman" w:eastAsia="Times New Roman" w:hAnsi="Times New Roman"/>
          <w:sz w:val="18"/>
          <w:szCs w:val="18"/>
          <w:color w:val="auto"/>
        </w:rPr>
        <w:t>Cabot employees may obtain loans from the Plan in an amount not to exceed, in the aggregate, the lesser of $50,000 or 50% of the total vested amount in the participant’s account. Each loan must be paid in full within five years through payroll deductions and is secured by the participant’s remaining account balance. The Plan provides that loans may bear interest at reasonable rates as determined by Cabot Human Resources. The interest rate is currently the prime rate plus 2%, and is adjusted quarterly for new loans to reflect changes in the prime rate. Interest rates on outstanding loans as of December 31, 2025 ranged from 5.25% to 10.50% per annum. Participant loans are classified as notes receivable from participants on the Statements of Net Assets Available for Benefits.</w:t>
      </w:r>
    </w:p>
    <w:p>
      <w:pPr>
        <w:spacing w:after="0" w:line="332" w:lineRule="exact"/>
        <w:rPr>
          <w:sz w:val="20"/>
          <w:szCs w:val="20"/>
          <w:color w:val="auto"/>
        </w:rPr>
      </w:pPr>
    </w:p>
    <w:p>
      <w:pPr>
        <w:ind w:left="444" w:right="7200" w:hanging="444"/>
        <w:spacing w:after="0" w:line="378" w:lineRule="auto"/>
        <w:tabs>
          <w:tab w:leader="none" w:pos="43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Accounting</w:t>
      </w:r>
    </w:p>
    <w:p>
      <w:pPr>
        <w:ind w:left="444"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w:t>
      </w:r>
    </w:p>
    <w:p>
      <w:pPr>
        <w:spacing w:after="0" w:line="26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and liabilities and the disclosure of contingent assets and liabilities at the date of the financial statements and the reported amounts of additions and deductions during the reporting period. Actual amounts could differ from those estimates.</w:t>
      </w:r>
    </w:p>
    <w:p>
      <w:pPr>
        <w:spacing w:after="0" w:line="27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444"/>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Plan performs fair value measurements in accordance with Financial Accounting Standards Board (FASB) Accounting Standards Codification 820, Fair Value Measurement (ASC 820). Refer to Note 3 for the fair value measurement disclosures associated with the Plan’s investments.</w:t>
      </w:r>
    </w:p>
    <w:p>
      <w:pPr>
        <w:spacing w:after="0" w:line="243"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Valuation</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Statements of Net Assets Available for Benefits reflect the Plan’s investments at their fair values. Fair value of a financial instrument is the price that would be received on the sale of an asset or paid to transfer a liability in an orderly transaction between market participants at the measurement date. See Note 3 for a discussion of fair value measurements.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93" w:right="459" w:bottom="1440" w:gutter="0" w:footer="0" w:header="0"/>
        </w:sectPr>
      </w:pPr>
    </w:p>
    <w:bookmarkStart w:id="9" w:name="page10"/>
    <w:bookmarkEnd w:id="9"/>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Income Recognition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Purchases and sales of securities are reflected on a trade date basis. Gains or losses on sales of securities are based on average cost.</w:t>
      </w:r>
    </w:p>
    <w:p>
      <w:pPr>
        <w:spacing w:after="0" w:line="117" w:lineRule="exact"/>
        <w:rPr>
          <w:sz w:val="20"/>
          <w:szCs w:val="20"/>
          <w:color w:val="auto"/>
        </w:rPr>
      </w:pPr>
    </w:p>
    <w:p>
      <w:pPr>
        <w:jc w:val="both"/>
        <w:ind w:left="444" w:right="160"/>
        <w:spacing w:after="0" w:line="266" w:lineRule="auto"/>
        <w:rPr>
          <w:sz w:val="20"/>
          <w:szCs w:val="20"/>
          <w:color w:val="auto"/>
        </w:rPr>
      </w:pPr>
      <w:r>
        <w:rPr>
          <w:rFonts w:ascii="Times New Roman" w:cs="Times New Roman" w:eastAsia="Times New Roman" w:hAnsi="Times New Roman"/>
          <w:sz w:val="18"/>
          <w:szCs w:val="18"/>
          <w:color w:val="auto"/>
        </w:rPr>
        <w:t>Dividends received in cash are recorded on the ex-dividend date. Dividend payments received in shares of Cabot common stock are recorded on the ex-dividend date in an amount equal to the fair value of the common stock on that date. Interest income is recorded as earned on the accrual basis.</w:t>
      </w:r>
    </w:p>
    <w:p>
      <w:pPr>
        <w:spacing w:after="0" w:line="68" w:lineRule="exact"/>
        <w:rPr>
          <w:sz w:val="20"/>
          <w:szCs w:val="20"/>
          <w:color w:val="auto"/>
        </w:rPr>
      </w:pPr>
    </w:p>
    <w:p>
      <w:pPr>
        <w:ind w:left="444" w:right="400"/>
        <w:spacing w:after="0" w:line="282" w:lineRule="auto"/>
        <w:rPr>
          <w:sz w:val="20"/>
          <w:szCs w:val="20"/>
          <w:color w:val="auto"/>
        </w:rPr>
      </w:pPr>
      <w:r>
        <w:rPr>
          <w:rFonts w:ascii="Times New Roman" w:cs="Times New Roman" w:eastAsia="Times New Roman" w:hAnsi="Times New Roman"/>
          <w:sz w:val="18"/>
          <w:szCs w:val="18"/>
          <w:color w:val="auto"/>
        </w:rPr>
        <w:t>The Plan presents in the Statement of Changes in Net Assets Available for Benefits, the net appreciation (depreciation) in the fair value of its investments which consists of (i) realized gains or losses, and (ii) unrealized appreciation (depreciation) on those investments.</w:t>
      </w:r>
    </w:p>
    <w:p>
      <w:pPr>
        <w:spacing w:after="0" w:line="54" w:lineRule="exact"/>
        <w:rPr>
          <w:sz w:val="20"/>
          <w:szCs w:val="20"/>
          <w:color w:val="auto"/>
        </w:r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Management fees and operating expenses related to investments in the mutual funds and common collective trust fund are charged directly to the funds and deducted from income earned on a daily basis by the funds and are not separately reflected in the accompanying financial statements. Consequently, management fees and operating expenses are reflected as a reduction of investment return for such investments.</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left="444" w:right="360"/>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participant loans are recorded as distributions based on the terms of the Plan document.</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left="444" w:right="100"/>
        <w:spacing w:after="0" w:line="282" w:lineRule="auto"/>
        <w:rPr>
          <w:sz w:val="20"/>
          <w:szCs w:val="20"/>
          <w:color w:val="auto"/>
        </w:rPr>
      </w:pPr>
      <w:r>
        <w:rPr>
          <w:rFonts w:ascii="Times New Roman" w:cs="Times New Roman" w:eastAsia="Times New Roman" w:hAnsi="Times New Roman"/>
          <w:sz w:val="18"/>
          <w:szCs w:val="18"/>
          <w:color w:val="auto"/>
        </w:rPr>
        <w:t>Contributions from plan participants and company contributions are recorded in the year in which the participant contributions are withheld from compensation.</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Benefit payments to participants are recorded upon distribution.</w:t>
      </w:r>
    </w:p>
    <w:p>
      <w:pPr>
        <w:spacing w:after="0" w:line="370"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color w:val="auto"/>
        </w:rPr>
      </w:pPr>
    </w:p>
    <w:p>
      <w:pPr>
        <w:ind w:left="444"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classifies its investments into Level 1, which refers to securities valued using quoted prices from active markets for identical assets; Level 2, which refers to securities not traded on an active market but for which observable market inputs are readily available; and Level 3, which refers to securities valued based on significant unobservable inputs. Assets and liabilities are classified in their entirety based on the lowest level of input that is significant to the fair value measurement. There were no transfers of assets between levels during the year ended December 31, 2025. The Plan’s policy is to recognize significant transfers between levels at the beginning of the reporting period.</w:t>
      </w:r>
    </w:p>
    <w:p>
      <w:pPr>
        <w:spacing w:after="0" w:line="75" w:lineRule="exact"/>
        <w:rPr>
          <w:rFonts w:ascii="Times New Roman" w:cs="Times New Roman" w:eastAsia="Times New Roman" w:hAnsi="Times New Roman"/>
          <w:sz w:val="18"/>
          <w:szCs w:val="18"/>
          <w:color w:val="auto"/>
        </w:rPr>
      </w:pPr>
    </w:p>
    <w:p>
      <w:pPr>
        <w:ind w:left="444"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is a description of the valuation methodologies used by the Plan. There have been no changes in the methodologies used between December 31, 2025 and 2024.</w:t>
      </w:r>
    </w:p>
    <w:p>
      <w:pPr>
        <w:spacing w:after="0" w:line="51" w:lineRule="exact"/>
        <w:rPr>
          <w:rFonts w:ascii="Times New Roman" w:cs="Times New Roman" w:eastAsia="Times New Roman" w:hAnsi="Times New Roman"/>
          <w:sz w:val="18"/>
          <w:szCs w:val="18"/>
          <w:color w:val="auto"/>
        </w:rPr>
      </w:pPr>
    </w:p>
    <w:p>
      <w:pPr>
        <w:ind w:left="44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collective trust </w:t>
      </w:r>
      <w:r>
        <w:rPr>
          <w:rFonts w:ascii="Times New Roman" w:cs="Times New Roman" w:eastAsia="Times New Roman" w:hAnsi="Times New Roman"/>
          <w:sz w:val="18"/>
          <w:szCs w:val="18"/>
          <w:color w:val="auto"/>
        </w:rPr>
        <w:t>– The Vanguard Retirement Savings Trust (“VRST”), a common collective trust, invests primarily in synthetic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investment contracts and short-term money market funds. The VRST is valued at the net asset value (“NAV”) as provided by the trustee, which is used as a practical expedient to estimate fair value. The NAV is based on the fair value of the underlying investments held by the fund less its liabilities and then divided by number of shares outstanding. This practical expedient is not used when it is determined to be probable that the fund will sell the investment for an amount different than the reported NAV. The Plan has no unfunded commitments to the VRST, which allows for daily transactions. The Plan may be subject to a 12-month notice period for redemptions. Redemptions are allowed daily for participants. The VRST is audited annually. MFS Growth Equity CL S is also a common collective trust and invests primarily in US Large Cap equites. Like the VRST, MFS Growth Equity is valued at the net asset value (“NAV”) as provided by the trustee, which is used as a practical expedient to estimate fair value. The NAV is based on the fair value of the underlying investments held by the fund less its liabilities and then divided by number of shares outstanding. The Plan has no unfunded commitments to the MFS Growth Equity, which allows for daily transactions. Unlike the VRST, it is fully liquid and is not subject to a 12-month notice period for redemptions. Redemptions are allowed daily for participants. The MFS Growth fund is audited annually. The Vanguard Target Retirement Trust II target date series is a series of common collective trusts subject to the risks of their underlying funds. They have a fund of funds structure that seeks to build appropriate asset allocation from preselected stock, bond, and cash portfolios. The Income and Income and Growth Trusts have a fixed target investment allocation. Each fund is valued at the net asset value</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93" w:right="479" w:bottom="1440" w:gutter="0" w:footer="0" w:header="0"/>
        </w:sectPr>
      </w:pPr>
    </w:p>
    <w:bookmarkStart w:id="10" w:name="page11"/>
    <w:bookmarkEnd w:id="10"/>
    <w:p>
      <w:pPr>
        <w:ind w:left="44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(“NAV”) as provided by the trustee, which is used as a practical expedient to estimate fair value. The NAV is based on the fair value of the underlying investments held by the fund less its liabilities and then divided by number of shares outstanding. The Plan has no unfunded commitments to the Vanguard Target Retirement Trust II target date series, which allows for daily transactions. The series is fully liquid and is not subject to a 12-month notice period for redemptions. Redemptions are allowed daily for participants. The trusts are also audited annually.</w:t>
      </w:r>
    </w:p>
    <w:p>
      <w:pPr>
        <w:spacing w:after="0" w:line="70" w:lineRule="exact"/>
        <w:rPr>
          <w:sz w:val="20"/>
          <w:szCs w:val="20"/>
          <w:color w:val="auto"/>
        </w:rPr>
      </w:pPr>
    </w:p>
    <w:p>
      <w:pPr>
        <w:ind w:left="444"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 Valued at the daily closing price as reported by the fund. Mutual funds held by the Plan are open-end mutual funds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with the Securities and Exchange Commission. These funds are required to publish their daily NAV and to transact at that price. The mutual funds held by the Plan are deemed to be actively traded.</w:t>
      </w:r>
    </w:p>
    <w:p>
      <w:pPr>
        <w:spacing w:after="0" w:line="6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Company stock </w:t>
      </w:r>
      <w:r>
        <w:rPr>
          <w:rFonts w:ascii="Times New Roman" w:cs="Times New Roman" w:eastAsia="Times New Roman" w:hAnsi="Times New Roman"/>
          <w:sz w:val="18"/>
          <w:szCs w:val="18"/>
          <w:color w:val="auto"/>
        </w:rPr>
        <w:t>– Valued at the closing price reported on the active market on which the individual securities are traded.</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preceding methods described may produce a fair value calculation that may not be indicative of the amount realized upon</w:t>
      </w:r>
    </w:p>
    <w:p>
      <w:pPr>
        <w:spacing w:after="0" w:line="27" w:lineRule="exact"/>
        <w:rPr>
          <w:sz w:val="20"/>
          <w:szCs w:val="20"/>
          <w:color w:val="auto"/>
        </w:rPr>
      </w:pPr>
    </w:p>
    <w:p>
      <w:pPr>
        <w:ind w:left="444" w:right="20"/>
        <w:spacing w:after="0" w:line="255" w:lineRule="auto"/>
        <w:rPr>
          <w:sz w:val="20"/>
          <w:szCs w:val="20"/>
          <w:color w:val="auto"/>
        </w:rPr>
      </w:pPr>
      <w:r>
        <w:rPr>
          <w:rFonts w:ascii="Times New Roman" w:cs="Times New Roman" w:eastAsia="Times New Roman" w:hAnsi="Times New Roman"/>
          <w:sz w:val="18"/>
          <w:szCs w:val="18"/>
          <w:color w:val="auto"/>
        </w:rPr>
        <w:t>disposition.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reporting date.</w:t>
      </w:r>
    </w:p>
    <w:p>
      <w:pPr>
        <w:spacing w:after="0" w:line="7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tables set forth by level and major categorization within the fair value hierarchy, the Plan’s assets at fair value as of December 31:</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380" w:type="dxa"/>
            <w:vAlign w:val="bottom"/>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Level 2</w:t>
            </w:r>
          </w:p>
        </w:tc>
        <w:tc>
          <w:tcPr>
            <w:tcW w:w="3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$552,163,935</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$ 552,163,935</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w:t>
            </w:r>
          </w:p>
        </w:tc>
        <w:tc>
          <w:tcPr>
            <w:tcW w:w="18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40,128,718</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40,128,718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1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592,292,653</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592,292,653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trusts**</w:t>
            </w:r>
          </w:p>
        </w:tc>
        <w:tc>
          <w:tcPr>
            <w:tcW w:w="18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327,977,770</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920,270,423</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$ 592,292,653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380" w:type="dxa"/>
            <w:vAlign w:val="bottom"/>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Level 2</w:t>
            </w:r>
          </w:p>
        </w:tc>
        <w:tc>
          <w:tcPr>
            <w:tcW w:w="3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$506,445,493</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$ 506,445,493</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w:t>
            </w:r>
          </w:p>
        </w:tc>
        <w:tc>
          <w:tcPr>
            <w:tcW w:w="18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63,319,850</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63,319,850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1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569,765,343</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569,765,343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trusts**</w:t>
            </w:r>
          </w:p>
        </w:tc>
        <w:tc>
          <w:tcPr>
            <w:tcW w:w="18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302,198,561</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871,963,904</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$ 569,765,343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Cabot Common ESOP Stock Fund and Cabot Common Stock Fund.</w:t>
      </w:r>
    </w:p>
    <w:p>
      <w:pPr>
        <w:spacing w:after="0" w:line="27" w:lineRule="exact"/>
        <w:rPr>
          <w:sz w:val="20"/>
          <w:szCs w:val="20"/>
          <w:color w:val="auto"/>
        </w:rPr>
      </w:pPr>
    </w:p>
    <w:p>
      <w:pPr>
        <w:ind w:left="424" w:right="2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Subtopic 820-10,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330"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Forfeitures</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a participant’s employment with the Company before his or her benefits are fully vested, the unvested portion of the Company retirement contributions is forfeited. The Plan allows the Company to apply participant forfeitures toward Plan expenses or to be used to make Company contributions.</w:t>
      </w:r>
    </w:p>
    <w:p>
      <w:pPr>
        <w:spacing w:after="0" w:line="67" w:lineRule="exact"/>
        <w:rPr>
          <w:rFonts w:ascii="Times New Roman" w:cs="Times New Roman" w:eastAsia="Times New Roman" w:hAnsi="Times New Roman"/>
          <w:sz w:val="18"/>
          <w:szCs w:val="18"/>
          <w:b w:val="1"/>
          <w:bCs w:val="1"/>
          <w:color w:val="auto"/>
        </w:rPr>
      </w:pPr>
    </w:p>
    <w:p>
      <w:pPr>
        <w:ind w:left="444"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ending December 31, 2025, the Company used $300,328 of participant forfeitures toward the payment of the Company contribution. As of December 31, 2025, and 2024, participant forfeitures totaling $91,658 and $233,406, respectively, were available for future use by the Company.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97" w:right="459" w:bottom="1440" w:gutter="0" w:footer="0" w:header="0"/>
        </w:sectPr>
      </w:pPr>
    </w:p>
    <w:bookmarkStart w:id="11" w:name="page12"/>
    <w:bookmarkEnd w:id="11"/>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Administrative Expenses</w:t>
      </w:r>
    </w:p>
    <w:p>
      <w:pPr>
        <w:spacing w:after="0" w:line="121"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permits the payment of usual and reasonable expenses not paid by the Company to be paid by the Plan, to the extent permitted by ERISA. Pursuant to this provision, certain redemption, special managed account and participant loan fees, as well as other administrative expenses required for the operation of the Plan are deducted from participant accounts. Costs paid by the Company include audit fees, consulting and investment service expenses. These costs are not included in these financial statements.</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Income Tax Status</w:t>
      </w:r>
    </w:p>
    <w:p>
      <w:pPr>
        <w:spacing w:after="0" w:line="121" w:lineRule="exact"/>
        <w:rPr>
          <w:rFonts w:ascii="Times New Roman" w:cs="Times New Roman" w:eastAsia="Times New Roman" w:hAnsi="Times New Roman"/>
          <w:sz w:val="18"/>
          <w:szCs w:val="18"/>
          <w:b w:val="1"/>
          <w:bCs w:val="1"/>
          <w:color w:val="auto"/>
        </w:rPr>
      </w:pPr>
    </w:p>
    <w:p>
      <w:pPr>
        <w:ind w:left="444" w:right="2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 letter dated July 9, 2014, the Internal Revenue Service (“IRS”) advised the Company of its favorable determination with respect to the qualified status of the Plan, as amended and restated through December 31, 2013, under the Code. The Plan is intended to qualify as a profit sharing plan under section 401(a) of the Code that contains a stock bonus feature constituting an employee stock ownership plan under section 4975(e) of the Code. The Plan has been amended since receiving the determination letter, however, the Company and Plan management believe that the Plan has been designed and has been and is being operated in compliance with the applicable requirements of the Code. Therefore, no provision for income tax has been accrued.</w:t>
      </w:r>
    </w:p>
    <w:p>
      <w:pPr>
        <w:spacing w:after="0" w:line="79"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Accounting standards require recording uncertain income tax positions that exist in the Plan’s financial statements. Plan management determined that, as of December 31, 2025, and 2024, there were no uncertain tax positions and no adjustment or disclosure was required in the Plan’s financial statements. The Plan did not recognize any interest and penalty expense for the year ended December 31, 2025. The Plan is subject to routine audits by the IRS; however, there are currently no audits for any tax periods in progress.</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was established with the intention that it will continue indefinitely. However, the Company reserves the right to suspend its contributions or to terminate the Plan at any time. In the event the Plan is terminated, all participants become 100% vested and the assets of the Plan, after payment of any expenses, taxes or proper charges of the trustee, will be allocated in accordance with the provisions of ERISA.</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Party-In-Interest</w:t>
      </w:r>
    </w:p>
    <w:p>
      <w:pPr>
        <w:spacing w:after="0" w:line="121" w:lineRule="exact"/>
        <w:rPr>
          <w:rFonts w:ascii="Times New Roman" w:cs="Times New Roman" w:eastAsia="Times New Roman" w:hAnsi="Times New Roman"/>
          <w:sz w:val="18"/>
          <w:szCs w:val="18"/>
          <w:b w:val="1"/>
          <w:bCs w:val="1"/>
          <w:color w:val="auto"/>
        </w:rPr>
      </w:pPr>
    </w:p>
    <w:p>
      <w:pPr>
        <w:ind w:left="444" w:right="1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investment options include certain mutual funds and a common collective trust of The Vanguard Group. Vanguard Fiduciary Trust Company is the record keeper and trustee of certain of the Plan’s assets and, therefore, participant investments in mutual funds and the common collective trust within The Vanguard Group qualify as party-in-interest transactions. Management fees paid for investment management services are charged directly to the mutual funds and common collective trust by Vanguard, and are reflected as a reduction of the return earned on each fund. The Plan does not separately pay any management fees to The Vanguard Group.</w:t>
      </w:r>
    </w:p>
    <w:p>
      <w:pPr>
        <w:spacing w:after="0" w:line="7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the Plan is invested in common stock of the Company and these transactions qualify as party-in-interest transactions.</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2025 and at December 31, 2024, the Plan held common stock of the Company, the sponsoring employer, in the amount of</w:t>
      </w:r>
    </w:p>
    <w:p>
      <w:pPr>
        <w:spacing w:after="0" w:line="27" w:lineRule="exact"/>
        <w:rPr>
          <w:rFonts w:ascii="Times New Roman" w:cs="Times New Roman" w:eastAsia="Times New Roman" w:hAnsi="Times New Roman"/>
          <w:sz w:val="18"/>
          <w:szCs w:val="18"/>
          <w:b w:val="1"/>
          <w:bCs w:val="1"/>
          <w:color w:val="auto"/>
        </w:rPr>
      </w:pPr>
    </w:p>
    <w:p>
      <w:pPr>
        <w:ind w:left="444" w:right="1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$40,128,718 and $63,319,850 respectively. During the year ended December 31, 2025, the Plan earned dividend income of $1,140,749, related to the common stock of the Company.</w:t>
      </w:r>
    </w:p>
    <w:p>
      <w:pPr>
        <w:spacing w:after="0" w:line="325"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Financial Statements to Form 5500</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net assets available for benefits as reflected in the financial statements to the total net assets as reflected in the Form 5500 as of December 31, 2025 and 2024 is as follows:</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4"/>
                <w:szCs w:val="14"/>
                <w:color w:val="auto"/>
              </w:rPr>
            </w:pPr>
          </w:p>
        </w:tc>
        <w:tc>
          <w:tcPr>
            <w:tcW w:w="11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924,338,139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$ 875,636,357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Deemed distributions -reduction of loans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(83,511)</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(80,797)</w:t>
            </w: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available for benefits per Form 5500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924,254,628</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$ 875,555,560</w:t>
            </w:r>
          </w:p>
        </w:tc>
      </w:tr>
      <w:tr>
        <w:trPr>
          <w:trHeight w:val="20"/>
        </w:trPr>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56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financial statements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48,701,782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Deemed distributions -reduction of loans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(2,714)</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assets available for benefits per Form 5500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48,699,068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64"/>
        </w:trPr>
        <w:tc>
          <w:tcPr>
            <w:tcW w:w="564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4"/>
          </w:cols>
          <w:pgMar w:left="436" w:top="293" w:right="459" w:bottom="1440" w:gutter="0" w:footer="0" w:header="0"/>
        </w:sectPr>
      </w:pPr>
    </w:p>
    <w:bookmarkStart w:id="12" w:name="page13"/>
    <w:bookmarkEnd w:id="12"/>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and Uncertainties</w:t>
      </w:r>
    </w:p>
    <w:p>
      <w:pPr>
        <w:spacing w:after="0" w:line="121"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for various investment options in any combination of mutual funds, Company common stock fund, and a common collective trust. Investment securities are exposed to various risks, such as interest rate, market and credit risks. Due to the level of risk associated with certain investment securities, it is reasonably possible that Global market changes in the values of investment securities will occur in the near term and that such changes could materially affect participants’ account balances and the amounts reported in the financial statements.</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444"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has evaluated subsequent events through June 17, 2026, and there were no additional subsequent events that require recognition or additional disclosure in these financial statements.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93" w:right="479" w:bottom="1440" w:gutter="0" w:footer="0" w:header="0"/>
        </w:sectPr>
      </w:pPr>
    </w:p>
    <w:bookmarkStart w:id="13" w:name="page14"/>
    <w:bookmarkEnd w:id="13"/>
    <w:tbl>
      <w:tblPr>
        <w:tblLayout w:type="fixed"/>
        <w:tblInd w:w="4" w:type="dxa"/>
        <w:tblCellMar>
          <w:top w:w="0" w:type="dxa"/>
          <w:left w:w="0" w:type="dxa"/>
          <w:bottom w:w="0" w:type="dxa"/>
          <w:right w:w="0" w:type="dxa"/>
        </w:tblCellMar>
      </w:tblP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Cabot 401(k) Plan</w:t>
            </w:r>
          </w:p>
        </w:tc>
        <w:tc>
          <w:tcPr>
            <w:tcW w:w="2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tc>
        <w:tc>
          <w:tcPr>
            <w:tcW w:w="2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4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EIN: 04-2271897 PN: 022</w:t>
            </w:r>
          </w:p>
        </w:tc>
        <w:tc>
          <w:tcPr>
            <w:tcW w:w="0" w:type="dxa"/>
            <w:vAlign w:val="bottom"/>
          </w:tcPr>
          <w:p>
            <w:pPr>
              <w:spacing w:after="0"/>
              <w:rPr>
                <w:sz w:val="1"/>
                <w:szCs w:val="1"/>
                <w:color w:val="auto"/>
              </w:rPr>
            </w:pPr>
          </w:p>
        </w:tc>
      </w:tr>
      <w:tr>
        <w:trPr>
          <w:trHeight w:val="369"/>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6380" w:type="dxa"/>
            <w:vAlign w:val="bottom"/>
          </w:tcPr>
          <w:p>
            <w:pPr>
              <w:jc w:val="center"/>
              <w:ind w:left="652"/>
              <w:spacing w:after="0"/>
              <w:rPr>
                <w:sz w:val="20"/>
                <w:szCs w:val="20"/>
                <w:color w:val="auto"/>
              </w:rPr>
            </w:pPr>
            <w:r>
              <w:rPr>
                <w:rFonts w:ascii="Times New Roman" w:cs="Times New Roman" w:eastAsia="Times New Roman" w:hAnsi="Times New Roman"/>
                <w:sz w:val="14"/>
                <w:szCs w:val="14"/>
                <w:color w:val="auto"/>
              </w:rPr>
              <w:t>b)</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4"/>
                <w:szCs w:val="14"/>
                <w:color w:val="auto"/>
                <w:w w:val="91"/>
              </w:rPr>
              <w:t>c)</w:t>
            </w:r>
          </w:p>
        </w:tc>
        <w:tc>
          <w:tcPr>
            <w:tcW w:w="68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d)</w:t>
            </w: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700" w:type="dxa"/>
            <w:vAlign w:val="bottom"/>
          </w:tcPr>
          <w:p>
            <w:pPr>
              <w:jc w:val="center"/>
              <w:ind w:left="473"/>
              <w:spacing w:after="0" w:line="149" w:lineRule="exact"/>
              <w:rPr>
                <w:sz w:val="20"/>
                <w:szCs w:val="20"/>
                <w:color w:val="auto"/>
              </w:rPr>
            </w:pPr>
            <w:r>
              <w:rPr>
                <w:rFonts w:ascii="Times New Roman" w:cs="Times New Roman" w:eastAsia="Times New Roman" w:hAnsi="Times New Roman"/>
                <w:sz w:val="14"/>
                <w:szCs w:val="14"/>
                <w:color w:val="auto"/>
              </w:rPr>
              <w:t>Description of investment</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6380" w:type="dxa"/>
            <w:vAlign w:val="bottom"/>
            <w:vMerge w:val="restart"/>
          </w:tcPr>
          <w:p>
            <w:pPr>
              <w:jc w:val="center"/>
              <w:ind w:left="652"/>
              <w:spacing w:after="0"/>
              <w:rPr>
                <w:sz w:val="20"/>
                <w:szCs w:val="20"/>
                <w:color w:val="auto"/>
              </w:rPr>
            </w:pPr>
            <w:r>
              <w:rPr>
                <w:rFonts w:ascii="Times New Roman" w:cs="Times New Roman" w:eastAsia="Times New Roman" w:hAnsi="Times New Roman"/>
                <w:sz w:val="14"/>
                <w:szCs w:val="14"/>
                <w:color w:val="auto"/>
              </w:rPr>
              <w:t>Identity of issue, borrower,</w:t>
            </w:r>
          </w:p>
        </w:tc>
        <w:tc>
          <w:tcPr>
            <w:tcW w:w="2700" w:type="dxa"/>
            <w:vAlign w:val="bottom"/>
          </w:tcPr>
          <w:p>
            <w:pPr>
              <w:jc w:val="center"/>
              <w:ind w:left="473"/>
              <w:spacing w:after="0" w:line="149" w:lineRule="exact"/>
              <w:rPr>
                <w:sz w:val="20"/>
                <w:szCs w:val="20"/>
                <w:color w:val="auto"/>
              </w:rPr>
            </w:pPr>
            <w:r>
              <w:rPr>
                <w:rFonts w:ascii="Times New Roman" w:cs="Times New Roman" w:eastAsia="Times New Roman" w:hAnsi="Times New Roman"/>
                <w:sz w:val="14"/>
                <w:szCs w:val="14"/>
                <w:color w:val="auto"/>
              </w:rPr>
              <w:t>including maturity date, rate of</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6380" w:type="dxa"/>
            <w:vAlign w:val="bottom"/>
            <w:vMerge w:val="continue"/>
          </w:tcPr>
          <w:p>
            <w:pPr>
              <w:spacing w:after="0"/>
              <w:rPr>
                <w:sz w:val="12"/>
                <w:szCs w:val="12"/>
                <w:color w:val="auto"/>
              </w:rPr>
            </w:pPr>
          </w:p>
        </w:tc>
        <w:tc>
          <w:tcPr>
            <w:tcW w:w="2700" w:type="dxa"/>
            <w:vAlign w:val="bottom"/>
          </w:tcPr>
          <w:p>
            <w:pPr>
              <w:jc w:val="center"/>
              <w:ind w:left="473"/>
              <w:spacing w:after="0" w:line="145" w:lineRule="exact"/>
              <w:rPr>
                <w:sz w:val="20"/>
                <w:szCs w:val="20"/>
                <w:color w:val="auto"/>
              </w:rPr>
            </w:pPr>
            <w:r>
              <w:rPr>
                <w:rFonts w:ascii="Times New Roman" w:cs="Times New Roman" w:eastAsia="Times New Roman" w:hAnsi="Times New Roman"/>
                <w:sz w:val="14"/>
                <w:szCs w:val="14"/>
                <w:color w:val="auto"/>
              </w:rPr>
              <w:t>interest, collateral, par or maturity</w:t>
            </w:r>
          </w:p>
        </w:tc>
        <w:tc>
          <w:tcPr>
            <w:tcW w:w="680" w:type="dxa"/>
            <w:vAlign w:val="bottom"/>
            <w:vMerge w:val="restart"/>
          </w:tcPr>
          <w:p>
            <w:pPr>
              <w:jc w:val="center"/>
              <w:ind w:right="151"/>
              <w:spacing w:after="0"/>
              <w:rPr>
                <w:sz w:val="20"/>
                <w:szCs w:val="20"/>
                <w:color w:val="auto"/>
              </w:rPr>
            </w:pPr>
            <w:r>
              <w:rPr>
                <w:rFonts w:ascii="Times New Roman" w:cs="Times New Roman" w:eastAsia="Times New Roman" w:hAnsi="Times New Roman"/>
                <w:sz w:val="14"/>
                <w:szCs w:val="14"/>
                <w:color w:val="auto"/>
              </w:rPr>
              <w:t>Cost</w:t>
            </w:r>
          </w:p>
        </w:tc>
        <w:tc>
          <w:tcPr>
            <w:tcW w:w="9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Current value</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6380" w:type="dxa"/>
            <w:vAlign w:val="bottom"/>
          </w:tcPr>
          <w:p>
            <w:pPr>
              <w:jc w:val="center"/>
              <w:ind w:left="672"/>
              <w:spacing w:after="0"/>
              <w:rPr>
                <w:sz w:val="20"/>
                <w:szCs w:val="20"/>
                <w:color w:val="auto"/>
              </w:rPr>
            </w:pPr>
            <w:r>
              <w:rPr>
                <w:rFonts w:ascii="Times New Roman" w:cs="Times New Roman" w:eastAsia="Times New Roman" w:hAnsi="Times New Roman"/>
                <w:sz w:val="14"/>
                <w:szCs w:val="14"/>
                <w:color w:val="auto"/>
              </w:rPr>
              <w:t>lessor of similar party</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4"/>
                <w:szCs w:val="14"/>
                <w:color w:val="auto"/>
                <w:w w:val="98"/>
              </w:rPr>
              <w:t>value</w:t>
            </w:r>
          </w:p>
        </w:tc>
        <w:tc>
          <w:tcPr>
            <w:tcW w:w="6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Cabot Corporation</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8"/>
              </w:rPr>
              <w:t>Company Stock</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40,128,718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Institutional Index Fund</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187,678,826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Wellington Fund</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53,527,889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Total Bond Market Index Fund</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64,937,034</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Windsor II Fund</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41,560,394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International Growth Fund</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31,787,218</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Extended Market Index Fund</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42,173,888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Total International Stock Index Fund</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51,497,298</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Explorer Fund</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31,460,073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Total International Bond Index Fund</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13,407,219</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International Value Fund</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9,076,017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Federal Money Market Fund</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772,359</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Short-term Federal Fund</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17,810,768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Inflation-Protected Securities Fund: Adm Shares</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Mutual fund</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6,474,952</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2020 Trust II</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10,526,514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2025 Trust II</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12,754,099</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2030 Trust II</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38,858,350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2035 Trust II</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31,540,660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2040 Trust II</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25,569,787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2045 Trust II</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30,041,639</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2050 Trust II</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31,012,717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2055 Trust II</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17,130,703</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2060 Trust II</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7,784,829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2065 Trust II</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3,063,372</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2070 Trust II</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Income Trust II</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8,693,862</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Target Retirement Income and Growth Trust II</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MFS Growth Equity Fund Class S</w:t>
            </w:r>
          </w:p>
        </w:tc>
        <w:tc>
          <w:tcPr>
            <w:tcW w:w="27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78,774,367</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Vanguard Retirement Savings Trust III</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Common collective trust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31,672,951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investments on the Statement of Net Assets Available for Benefits</w:t>
            </w:r>
          </w:p>
        </w:tc>
        <w:tc>
          <w:tcPr>
            <w:tcW w:w="2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920,270,423</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Participant Loans</w:t>
            </w:r>
          </w:p>
        </w:tc>
        <w:tc>
          <w:tcPr>
            <w:tcW w:w="27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8"/>
              </w:rPr>
              <w:t>(5.25% -10.5%)</w:t>
            </w:r>
          </w:p>
        </w:tc>
        <w:tc>
          <w:tcPr>
            <w:tcW w:w="6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 xml:space="preserve">----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3,617,716</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6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investments on the Form 5500</w:t>
            </w:r>
          </w:p>
        </w:tc>
        <w:tc>
          <w:tcPr>
            <w:tcW w:w="2700" w:type="dxa"/>
            <w:vAlign w:val="bottom"/>
          </w:tcPr>
          <w:p>
            <w:pPr>
              <w:spacing w:after="0"/>
              <w:rPr>
                <w:sz w:val="18"/>
                <w:szCs w:val="18"/>
                <w:color w:val="auto"/>
              </w:rPr>
            </w:pP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923,888,139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504" w:hanging="504"/>
        <w:spacing w:after="0"/>
        <w:tabs>
          <w:tab w:leader="none" w:pos="5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party-in-interest to the Plan</w:t>
      </w:r>
    </w:p>
    <w:p>
      <w:pPr>
        <w:spacing w:after="0" w:line="7" w:lineRule="exact"/>
        <w:rPr>
          <w:sz w:val="20"/>
          <w:szCs w:val="20"/>
          <w:color w:val="auto"/>
        </w:rPr>
      </w:pPr>
    </w:p>
    <w:p>
      <w:pPr>
        <w:ind w:left="504" w:hanging="504"/>
        <w:spacing w:after="0"/>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omitted for participant directed investments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93" w:right="439" w:bottom="1440" w:gutter="0" w:footer="0" w:header="0"/>
        </w:sectPr>
      </w:pPr>
    </w:p>
    <w:bookmarkStart w:id="14" w:name="page15"/>
    <w:bookmarkEnd w:id="14"/>
    <w:p>
      <w:pPr>
        <w:jc w:val="right"/>
        <w:ind w:right="40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23.1 — Consent of Independent Registered Public Accounting Firm</w:t>
      </w:r>
    </w:p>
    <w:p>
      <w:pPr>
        <w:spacing w:after="0" w:line="200" w:lineRule="exact"/>
        <w:rPr>
          <w:sz w:val="20"/>
          <w:szCs w:val="20"/>
          <w:color w:val="auto"/>
        </w:rPr>
      </w:pPr>
    </w:p>
    <w:p>
      <w:pPr>
        <w:spacing w:after="0" w:line="32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19"/>
          </w:cols>
          <w:pgMar w:left="440" w:top="297"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have duly caused this annual report to be signed on its behalf by the undersigned hereunto duly authorized.</w:t>
      </w:r>
    </w:p>
    <w:p>
      <w:pPr>
        <w:spacing w:after="0" w:line="18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u w:val="single" w:color="auto"/>
          <w:color w:val="auto"/>
        </w:rPr>
        <w:t>Cabot 401(k) Plan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of Plan)</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6/23/2026</w:t>
      </w:r>
      <w:r>
        <w:rPr>
          <w:sz w:val="20"/>
          <w:szCs w:val="20"/>
          <w:color w:val="auto"/>
        </w:rPr>
        <w:tab/>
      </w:r>
      <w:r>
        <w:rPr>
          <w:rFonts w:ascii="Times New Roman" w:cs="Times New Roman" w:eastAsia="Times New Roman" w:hAnsi="Times New Roman"/>
          <w:sz w:val="17"/>
          <w:szCs w:val="17"/>
          <w:color w:val="auto"/>
        </w:rPr>
        <w:t>/s/ Arthur T.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Arthur T. Wood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97" w:right="4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88540" cy="831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8312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1 Library Lane</w:t>
      </w:r>
    </w:p>
    <w:p>
      <w:pPr>
        <w:spacing w:after="0" w:line="2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Kingston, NH 03848</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Tel: 603-658-8000</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Fax: 603-658-8070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Plan Audit Specialists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333-19103, 333-19099, 333-161253, and 333-177176) on Form S-8 of the Cabot 401(k) Plan of our report dated June 17, 2026 with respect to the statements of net assets available for benefits of the Cabot 401(k) Plan as of December 31, 2025 and 2024 and the related statement of changes in net assets available for benefits for the year then ended December 31, 2025, and the related supplemental schedule as of December 31, 2025, which report appears in the December 31, 2025 annual report on Form 11-K of the Cabot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3317240" cy="600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172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Kingston, NH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4"/>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10"/>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2026-06-23T14:28:01Z</dcterms:created>
  <dcterms:modified xsi:type="dcterms:W3CDTF">2026-06-23T14:28:01Z</dcterms:modified>
</cp:coreProperties>
</file>