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8380d8k.htm"/>
      <w:bookmarkStart w:id="1" w:name="ksd3283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 PURSUANT</w:t>
      </w:r>
    </w:p>
    <w:p>
      <w:pPr>
        <w:pStyle w:val="TextBody"/>
        <w:bidi w:val="0"/>
        <w:spacing w:before="0" w:after="0"/>
        <w:jc w:val="center"/>
        <w:rPr>
          <w:rFonts w:ascii="Times New Roman" w:hAnsi="Times New Roman"/>
          <w:b/>
          <w:sz w:val="24"/>
        </w:rPr>
      </w:pPr>
      <w:r>
        <w:rPr>
          <w:rFonts w:ascii="Times New Roman" w:hAnsi="Times New Roman"/>
          <w:b/>
          <w:sz w:val="24"/>
        </w:rPr>
        <w:t>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001-05667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04-2271897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4070"/>
        <w:gridCol w:w="60"/>
        <w:gridCol w:w="119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 Seaport Lane, Suite 1400, Boston,</w:t>
            </w:r>
          </w:p>
          <w:p>
            <w:pPr>
              <w:pStyle w:val="TableContents"/>
              <w:bidi w:val="0"/>
              <w:spacing w:before="0" w:after="20"/>
              <w:jc w:val="center"/>
              <w:rPr>
                <w:rFonts w:ascii="Times New Roman" w:hAnsi="Times New Roman"/>
                <w:b/>
                <w:sz w:val="20"/>
              </w:rPr>
            </w:pPr>
            <w:r>
              <w:rPr>
                <w:rFonts w:ascii="Times New Roman" w:hAnsi="Times New Roman"/>
                <w:b/>
                <w:sz w:val="20"/>
              </w:rPr>
              <w:t>Massachusetts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02210-2019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345-0100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3725"/>
        <w:gridCol w:w="60"/>
        <w:gridCol w:w="740"/>
        <w:gridCol w:w="60"/>
        <w:gridCol w:w="266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725"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Cabot Corporation (“Cabot”) completed the issuance and sale of $350 million aggregate principal amount of 4.950% senior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was registered pursuant to an automatically effective shelf registration statement on Form S-3ASR under the Securities Act of 1933, as amended (Registration Statement No. 333-276078) (the “Registration Statement”), that was filed with the Securities and Exchange Commission on December 15, 2023.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an indenture (the “Base Indenture”), between Cabot and U.S. Bank Trust Company, National Association, as trustee (the “Trustee”) dated as of June 22, 2022, as supplemented by the Second Supplemental Indenture (the “Second Supplemental Indenture”), dated as of August 21, 2026, between Cabot and the Trustee. Cabot is filing the Second Supplemental Indenture as Exhibit 4.2, to this Current Report on Form 8-K. In order to furnish as an exhibit for incorporation by reference into the Registration Statement, Cabot is filing the opinion of Ropes &amp; Gray LLP relating to the validity of the Notes as Exhibit 5.1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Cabot intends to use the net proceeds of the offering to redeem its $250 million aggregate principal amount of 3.40% Senior Notes due September 2026, with the remainder being used for working capital and other general corporate purposes (including, at Cabot’s discretion, repayment of commercial paper and amounts, if any, outstanding under its multicurrency revolving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r:id="rId2">
              <w:r>
                <w:rPr>
                  <w:rStyle w:val="InternetLink"/>
                </w:rPr>
                <w:t xml:space="preserve">Indenture, dated June 22, 2022, between Cabot Corporation and U.S. Bank Trust Company, National Association (incorporated by reference to Exhibit 4.1 to the Current Report on Form 8-K filed on June 22, 2022).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28380dex42.htm">
              <w:r>
                <w:rPr>
                  <w:rStyle w:val="InternetLink"/>
                </w:rPr>
                <w:t xml:space="preserve">Second Supplemental Indenture, dated August 21, 2026, between Cabot Corporation and U.S. Bank Trust Company, National Association, including the form of Global Note attached as Annex A thereto.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28380dex51.htm">
              <w:r>
                <w:rPr>
                  <w:rStyle w:val="InternetLink"/>
                </w:rPr>
                <w:t xml:space="preserve">Opinion of Ropes &amp; Gray LLP as to the validity of the Notes.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28380dex51.htm">
              <w:r>
                <w:rPr>
                  <w:rStyle w:val="InternetLink"/>
                </w:rPr>
                <w:t xml:space="preserve">Consent of Ropes &amp; Gray LLP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380"/>
        <w:gridCol w:w="60"/>
        <w:gridCol w:w="507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515" w:type="dxa"/>
            <w:gridSpan w:val="3"/>
            <w:tcBorders/>
            <w:vAlign w:val="center"/>
          </w:tcPr>
          <w:p>
            <w:pPr>
              <w:pStyle w:val="TableContents"/>
              <w:bidi w:val="0"/>
              <w:spacing w:before="0" w:after="283"/>
              <w:jc w:val="left"/>
              <w:rPr>
                <w:b/>
              </w:rPr>
            </w:pPr>
            <w:r>
              <w:rPr>
                <w:b/>
              </w:rPr>
              <w:t>CABOT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McLaughlin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Erica McLaughlin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21, 2026 </w:t>
      </w:r>
    </w:p>
    <w:p>
      <w:pPr>
        <w:pStyle w:val="TextBody"/>
        <w:bidi w:val="0"/>
        <w:spacing w:before="0" w:after="0"/>
        <w:jc w:val="right"/>
        <w:rPr>
          <w:rFonts w:ascii="Times New Roman" w:hAnsi="Times New Roman"/>
          <w:b/>
          <w:sz w:val="20"/>
        </w:rPr>
      </w:pPr>
      <w:bookmarkStart w:id="2" w:name="d328380dex42.htm"/>
      <w:bookmarkStart w:id="3" w:name="ksd328380dex42"/>
      <w:bookmarkEnd w:id="2"/>
      <w:bookmarkEnd w:id="3"/>
      <w:r>
        <w:rPr>
          <w:rFonts w:ascii="Times New Roman" w:hAnsi="Times New Roman"/>
          <w:b/>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CABOT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21, 2026 </w:t>
      </w:r>
    </w:p>
    <w:p>
      <w:pPr>
        <w:pStyle w:val="TextBody"/>
        <w:bidi w:val="0"/>
        <w:spacing w:before="240" w:after="0"/>
        <w:jc w:val="center"/>
        <w:rPr>
          <w:rFonts w:ascii="Times New Roman" w:hAnsi="Times New Roman"/>
          <w:b/>
          <w:sz w:val="20"/>
        </w:rPr>
      </w:pPr>
      <w:r>
        <w:rPr>
          <w:rFonts w:ascii="Times New Roman" w:hAnsi="Times New Roman"/>
          <w:b/>
          <w:sz w:val="20"/>
        </w:rPr>
        <w:t xml:space="preserve">4.950% Notes due 2029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Supplemental Indenture to the Indenture dated as of June 22, 2022)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SECOND SUPPLEMENTAL INDENTURE, dated as of August 21, 2026 (the “</w:t>
      </w:r>
      <w:r>
        <w:rPr>
          <w:rFonts w:ascii="Times New Roman" w:hAnsi="Times New Roman"/>
          <w:b/>
          <w:sz w:val="20"/>
        </w:rPr>
        <w:t>Second Supplemental Indenture</w:t>
      </w:r>
      <w:r>
        <w:rPr>
          <w:rFonts w:ascii="Times New Roman" w:hAnsi="Times New Roman"/>
          <w:sz w:val="20"/>
        </w:rPr>
        <w:t>”), between Cabot Corporation, a Delaware corporation (herein called the “</w:t>
      </w:r>
      <w:r>
        <w:rPr>
          <w:rFonts w:ascii="Times New Roman" w:hAnsi="Times New Roman"/>
          <w:b/>
          <w:sz w:val="20"/>
        </w:rPr>
        <w:t>Company</w:t>
      </w:r>
      <w:r>
        <w:rPr>
          <w:rFonts w:ascii="Times New Roman" w:hAnsi="Times New Roman"/>
          <w:sz w:val="20"/>
        </w:rPr>
        <w:t>”), and U.S. Bank Trust Company, National Association, as Trustee (herein called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has heretofore executed and delivered to the Trustee an Indenture, dated as of June 22, 2022 (the “</w:t>
      </w:r>
      <w:r>
        <w:rPr>
          <w:rFonts w:ascii="Times New Roman" w:hAnsi="Times New Roman"/>
          <w:b/>
          <w:sz w:val="20"/>
        </w:rPr>
        <w:t>Base Indenture</w:t>
      </w:r>
      <w:r>
        <w:rPr>
          <w:rFonts w:ascii="Times New Roman" w:hAnsi="Times New Roman"/>
          <w:sz w:val="20"/>
        </w:rPr>
        <w:t>”) providing for the issuance from time to time of the Company’s debentures, notes or other evidences of indebtedness (herein and therein called the “</w:t>
      </w:r>
      <w:r>
        <w:rPr>
          <w:rFonts w:ascii="Times New Roman" w:hAnsi="Times New Roman"/>
          <w:b/>
          <w:sz w:val="20"/>
        </w:rPr>
        <w:t>Securities</w:t>
      </w:r>
      <w:r>
        <w:rPr>
          <w:rFonts w:ascii="Times New Roman" w:hAnsi="Times New Roman"/>
          <w:sz w:val="20"/>
        </w:rPr>
        <w:t xml:space="preserve">”),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9.01(7) of the Base Indenture permits the Company and the Trustee to enter into an indenture supplemental to the Base Indenture to establish the form and terms of any series of Securities without notice to or consent of any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2.01 of the Base Indenture permits the form of Securities of any series to be established in an indenture supplemental to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2.01 and 2.03 of the Base Indenture, the Company desires to provide for the establishment of a new series of Securities under the Base Indenture, the form and substance of such Securities and the terms, provisions and conditions thereof to be set forth as provided in the Base Indenture and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all conditions and requirements necessary to make this Second Supplemental Indenture, when executed and delivered, a valid agreement of the Company, in accordance with its terms, have been performed and filled;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THIS SECOND SUPPLEMENTAL INDENTURE WITNESSETH: </w:t>
      </w:r>
    </w:p>
    <w:p>
      <w:pPr>
        <w:pStyle w:val="TextBody"/>
        <w:bidi w:val="0"/>
        <w:spacing w:before="240" w:after="0"/>
        <w:jc w:val="left"/>
        <w:rPr>
          <w:rFonts w:ascii="Times New Roman" w:hAnsi="Times New Roman"/>
          <w:sz w:val="20"/>
        </w:rPr>
      </w:pPr>
      <w:r>
        <w:rPr>
          <w:rFonts w:ascii="Times New Roman" w:hAnsi="Times New Roman"/>
          <w:sz w:val="20"/>
        </w:rPr>
        <w:t>For and in consideration of the premises and the purchase of the Securities established by this Second Supplemental Indenture by the holders thereof (the “</w:t>
      </w:r>
      <w:r>
        <w:rPr>
          <w:rFonts w:ascii="Times New Roman" w:hAnsi="Times New Roman"/>
          <w:b/>
          <w:sz w:val="20"/>
        </w:rPr>
        <w:t>Holders</w:t>
      </w:r>
      <w:r>
        <w:rPr>
          <w:rFonts w:ascii="Times New Roman" w:hAnsi="Times New Roman"/>
          <w:sz w:val="20"/>
        </w:rPr>
        <w:t xml:space="preserve">”), it is mutually agreed, for the equal and proportionate benefit of all such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Relation to Base Indenture</w:t>
      </w:r>
      <w:r>
        <w:rPr>
          <w:rFonts w:ascii="Times New Roman" w:hAnsi="Times New Roman"/>
          <w:sz w:val="20"/>
        </w:rPr>
        <w:t xml:space="preserve">. This Second Supplemental Indenture constitutes a part of the Base Indenture (the provisions of which, as modified by this Second Supplemental Indenture), shall apply to the series of Securities established by this Second Supplemental Indenture but shall not modify, amend or otherwise affect the Base Indenture insofar as it relates to any other series of Securities or modify, amend or otherwise affect in any manner the terms and conditions of the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Definitions</w:t>
      </w:r>
      <w:r>
        <w:rPr>
          <w:rFonts w:ascii="Times New Roman" w:hAnsi="Times New Roman"/>
          <w:sz w:val="20"/>
        </w:rPr>
        <w:t xml:space="preserve">. For all purposes of this Second Supplemental Indenture, the capitalized terms used herein (i) which are defined in this Section 1.02 have the respective meanings assigned hereto in this Section 1.02 and (ii) which are defined in the Base Indenture (and which are not defined in this Section 1.02) have the respective meanings assigned thereto in the Base Indenture. For all purposes of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context otherwise requires, any reference to an Article or Section refers to an Article or Section, as the case may be, of this Second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words “herein,” “hereof” and “hereunder” and words of similar import refer to this Second Supplemental Indenture as a whole and not to any particular Article, Section or other subdivision; and </w:t>
      </w:r>
    </w:p>
    <w:p>
      <w:pPr>
        <w:pStyle w:val="TextBody"/>
        <w:bidi w:val="0"/>
        <w:spacing w:before="240" w:after="0"/>
        <w:jc w:val="left"/>
        <w:rPr>
          <w:rFonts w:ascii="Times New Roman" w:hAnsi="Times New Roman"/>
          <w:sz w:val="20"/>
        </w:rPr>
      </w:pPr>
      <w:r>
        <w:rPr>
          <w:rFonts w:ascii="Times New Roman" w:hAnsi="Times New Roman"/>
          <w:sz w:val="20"/>
        </w:rPr>
        <w:t xml:space="preserve">(c) The terms defined in this Section 1.02(c) have the meanings assigned to them in this Section 1.02(c) and include the plural as well as the singular.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after the date of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the Company and its subsidiaries taken as a whole to any “person” or “group” (as those terms are used in Section 13(d)(3) of the Exchange Act) other than to the Company or one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it being agreed that an employee of the Company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other than the Company or one of its subsidiaries, becomes the “beneficial owner” (as defined in Rules 13d-3 and 13d-5 under the Exchange Act), directly or indirectly, of the Company’s Voting Stock representing more than 50% of the Company’s outstanding Voting Stock; </w:t>
      </w:r>
      <w:r>
        <w:rPr>
          <w:rFonts w:ascii="Times New Roman" w:hAnsi="Times New Roman"/>
          <w:i/>
          <w:sz w:val="20"/>
        </w:rPr>
        <w:t xml:space="preserve">provided </w:t>
      </w:r>
      <w:r>
        <w:rPr>
          <w:rFonts w:ascii="Times New Roman" w:hAnsi="Times New Roman"/>
          <w:sz w:val="20"/>
        </w:rPr>
        <w:t xml:space="preserve">that a merger shall not constitute a “change of control” under this definition if (i) the sole purpose of the merger is the reincorporation of the Company in another state and (ii) the shareholders and the number of shares of Voting Stock of the Company, measured by voting power and number of shares, owned by each of them immediately before and immediately following such merger are identical; </w:t>
      </w:r>
    </w:p>
    <w:p>
      <w:pPr>
        <w:pStyle w:val="TextBody"/>
        <w:bidi w:val="0"/>
        <w:spacing w:before="240" w:after="0"/>
        <w:jc w:val="left"/>
        <w:rPr>
          <w:rFonts w:ascii="Times New Roman" w:hAnsi="Times New Roman"/>
          <w:sz w:val="20"/>
        </w:rPr>
      </w:pPr>
      <w:r>
        <w:rPr>
          <w:rFonts w:ascii="Times New Roman" w:hAnsi="Times New Roman"/>
          <w:sz w:val="20"/>
        </w:rPr>
        <w:t xml:space="preserve">(3) the Company consolidates with, or merges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outstanding Voting Stock immediately prior to such transaction constitutes, or is converted into or exchanged for, Voting Stock representing more than 50% of the Voting Stock of the surviving Person immediately after giving effect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for so long as any of the Existing Notes remain outstanding, during any period of 24 consecutive calendar months, the majority of the members of the Board of Directors shall no longer be composed of individuals (a) who were members of the Board of Directors on the first day of such period or (b) whose nomination or election (either by a specific vote or by approval of the Company’s proxy statement in which such member was named as a nominee for election as a director) to the Board of Directors was approved by (i) individuals referred to in clause (a) above or (ii) other directors described in this clause (b), in each case collectively constituting, at the time of such nomination or election, at least a majority of the Board of Directors or, if directors are nominated by a committee of the Board of Directors, constituting at the time of such nomination, at least a majority of such committee; or </w:t>
      </w:r>
    </w:p>
    <w:p>
      <w:pPr>
        <w:pStyle w:val="TextBody"/>
        <w:bidi w:val="0"/>
        <w:spacing w:before="240" w:after="0"/>
        <w:jc w:val="left"/>
        <w:rPr>
          <w:rFonts w:ascii="Times New Roman" w:hAnsi="Times New Roman"/>
          <w:sz w:val="20"/>
        </w:rPr>
      </w:pPr>
      <w:r>
        <w:rPr>
          <w:rFonts w:ascii="Times New Roman" w:hAnsi="Times New Roman"/>
          <w:sz w:val="20"/>
        </w:rPr>
        <w:t xml:space="preserve">(5) the adoption, by the Board of Directors or the Company’s shareholders, of a plan relating to the liquidation or dissolution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of Control Offer</w:t>
      </w:r>
      <w:r>
        <w:rPr>
          <w:rFonts w:ascii="Times New Roman" w:hAnsi="Times New Roman"/>
          <w:sz w:val="20"/>
        </w:rPr>
        <w:t xml:space="preserve">” has the meaning set forth in Section 3.01. </w:t>
      </w:r>
    </w:p>
    <w:p>
      <w:pPr>
        <w:pStyle w:val="TextBody"/>
        <w:bidi w:val="0"/>
        <w:spacing w:before="240" w:after="0"/>
        <w:jc w:val="left"/>
        <w:rPr/>
      </w:pPr>
      <w:r>
        <w:rPr/>
        <w:t>“</w:t>
      </w:r>
      <w:r>
        <w:rPr>
          <w:rFonts w:ascii="Times New Roman" w:hAnsi="Times New Roman"/>
          <w:b/>
          <w:sz w:val="20"/>
        </w:rPr>
        <w:t>Change of Control Payment</w:t>
      </w:r>
      <w:r>
        <w:rPr>
          <w:rFonts w:ascii="Times New Roman" w:hAnsi="Times New Roman"/>
          <w:sz w:val="20"/>
        </w:rPr>
        <w:t xml:space="preserve">” has the meaning set forth in Section 3.01. </w:t>
      </w:r>
    </w:p>
    <w:p>
      <w:pPr>
        <w:pStyle w:val="TextBody"/>
        <w:bidi w:val="0"/>
        <w:spacing w:before="240" w:after="0"/>
        <w:jc w:val="left"/>
        <w:rPr/>
      </w:pPr>
      <w:r>
        <w:rPr/>
        <w:t>“</w:t>
      </w:r>
      <w:r>
        <w:rPr>
          <w:rFonts w:ascii="Times New Roman" w:hAnsi="Times New Roman"/>
          <w:b/>
          <w:sz w:val="20"/>
        </w:rPr>
        <w:t>Change of Control Payment Date</w:t>
      </w:r>
      <w:r>
        <w:rPr>
          <w:rFonts w:ascii="Times New Roman" w:hAnsi="Times New Roman"/>
          <w:sz w:val="20"/>
        </w:rPr>
        <w:t xml:space="preserve">” has the meaning set forth in Section 3.01.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means the Notes are rated below Investment Grade by both of the Rating Agencies on any date during the period (the “</w:t>
      </w:r>
      <w:r>
        <w:rPr>
          <w:rFonts w:ascii="Times New Roman" w:hAnsi="Times New Roman"/>
          <w:b/>
          <w:sz w:val="20"/>
        </w:rPr>
        <w:t>Trigger Period</w:t>
      </w:r>
      <w:r>
        <w:rPr>
          <w:rFonts w:ascii="Times New Roman" w:hAnsi="Times New Roman"/>
          <w:sz w:val="20"/>
        </w:rPr>
        <w:t xml:space="preserve">”) commencing on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downgrade); </w:t>
      </w:r>
      <w:r>
        <w:rPr>
          <w:rFonts w:ascii="Times New Roman" w:hAnsi="Times New Roman"/>
          <w:i/>
          <w:sz w:val="20"/>
        </w:rPr>
        <w:t xml:space="preserve">provided </w:t>
      </w:r>
      <w:r>
        <w:rPr>
          <w:rFonts w:ascii="Times New Roman" w:hAnsi="Times New Roman"/>
          <w:sz w:val="20"/>
        </w:rPr>
        <w:t xml:space="preserve">that a particular downgrade in rating shall not be deemed to have occurred in respect of a particular Change in Control (and thus shall not result in a Change of Control Triggering Event) if any of the Rating Agencies making the downgrade in rating to which this definition would otherwise apply does not announce or publicly confirm or inform the Trustee in writing at its request that the downgrade was the result, in whole or in part, of any event or circumstance comprised of or arising as a result of, or in respect of, the applicable Change of Control (whether or not the applicable Change of Control shall have occurred at the time of the Rating Event). If a Rating Agency is not providing a rating for the Notes at the commencement of any Trigger Period, the Notes will be deemed to have ceased to be called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b/>
          <w:sz w:val="20"/>
        </w:rPr>
        <w:t>Covenant Defeasance</w:t>
      </w:r>
      <w:r>
        <w:rPr>
          <w:rFonts w:ascii="Times New Roman" w:hAnsi="Times New Roman"/>
          <w:sz w:val="20"/>
        </w:rPr>
        <w:t xml:space="preserve">” has the meaning set forth in Section 4.03. </w:t>
      </w:r>
    </w:p>
    <w:p>
      <w:pPr>
        <w:pStyle w:val="TextBody"/>
        <w:bidi w:val="0"/>
        <w:spacing w:before="240" w:after="0"/>
        <w:jc w:val="left"/>
        <w:rPr/>
      </w:pPr>
      <w:r>
        <w:rPr/>
        <w:t>“</w:t>
      </w:r>
      <w:r>
        <w:rPr>
          <w:rFonts w:ascii="Times New Roman" w:hAnsi="Times New Roman"/>
          <w:b/>
          <w:sz w:val="20"/>
        </w:rPr>
        <w:t>Defeased Covenant</w:t>
      </w:r>
      <w:r>
        <w:rPr>
          <w:rFonts w:ascii="Times New Roman" w:hAnsi="Times New Roman"/>
          <w:sz w:val="20"/>
        </w:rPr>
        <w:t>” and “</w:t>
      </w:r>
      <w:r>
        <w:rPr>
          <w:rFonts w:ascii="Times New Roman" w:hAnsi="Times New Roman"/>
          <w:b/>
          <w:sz w:val="20"/>
        </w:rPr>
        <w:t>Defeased Covenants</w:t>
      </w:r>
      <w:r>
        <w:rPr>
          <w:rFonts w:ascii="Times New Roman" w:hAnsi="Times New Roman"/>
          <w:sz w:val="20"/>
        </w:rPr>
        <w:t xml:space="preserve">” have the meanings set forth in Section 4.03.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b/>
          <w:sz w:val="20"/>
        </w:rPr>
        <w:t>Existing Notes</w:t>
      </w:r>
      <w:r>
        <w:rPr>
          <w:rFonts w:ascii="Times New Roman" w:hAnsi="Times New Roman"/>
          <w:sz w:val="20"/>
        </w:rPr>
        <w:t xml:space="preserve">” means the Company’s 4.00% Senior Notes due fiscal 2029 and 5.00% Senior Notes due fiscal 2032. </w:t>
      </w:r>
    </w:p>
    <w:p>
      <w:pPr>
        <w:pStyle w:val="TextBody"/>
        <w:bidi w:val="0"/>
        <w:spacing w:before="240" w:after="0"/>
        <w:jc w:val="left"/>
        <w:rPr/>
      </w:pPr>
      <w:r>
        <w:rPr/>
        <w:t>“</w:t>
      </w:r>
      <w:r>
        <w:rPr>
          <w:rFonts w:ascii="Times New Roman" w:hAnsi="Times New Roman"/>
          <w:b/>
          <w:sz w:val="20"/>
        </w:rPr>
        <w:t>Government Securities</w:t>
      </w:r>
      <w:r>
        <w:rPr>
          <w:rFonts w:ascii="Times New Roman" w:hAnsi="Times New Roman"/>
          <w:sz w:val="20"/>
        </w:rPr>
        <w:t xml:space="preserve">” means securities that are: </w:t>
      </w:r>
    </w:p>
    <w:p>
      <w:pPr>
        <w:pStyle w:val="TextBody"/>
        <w:bidi w:val="0"/>
        <w:spacing w:before="240" w:after="0"/>
        <w:jc w:val="left"/>
        <w:rPr>
          <w:rFonts w:ascii="Times New Roman" w:hAnsi="Times New Roman"/>
          <w:sz w:val="20"/>
        </w:rPr>
      </w:pPr>
      <w:r>
        <w:rPr>
          <w:rFonts w:ascii="Times New Roman" w:hAnsi="Times New Roman"/>
          <w:sz w:val="20"/>
        </w:rPr>
        <w:t xml:space="preserve">(1) direct obligations of the United States of America for the timely payment of which its full faith and credit is pledged; or </w:t>
      </w:r>
    </w:p>
    <w:p>
      <w:pPr>
        <w:pStyle w:val="TextBody"/>
        <w:bidi w:val="0"/>
        <w:spacing w:before="240" w:after="0"/>
        <w:jc w:val="left"/>
        <w:rPr>
          <w:rFonts w:ascii="Times New Roman" w:hAnsi="Times New Roman"/>
          <w:sz w:val="20"/>
        </w:rPr>
      </w:pPr>
      <w:r>
        <w:rPr>
          <w:rFonts w:ascii="Times New Roman" w:hAnsi="Times New Roman"/>
          <w:sz w:val="20"/>
        </w:rPr>
        <w:t xml:space="preserve">(2) obligations of a Person controlled or supervised by and acting as an agency or instrumentality of the United States of America the timely payment of which is unconditionally guaranteed as a full faith and credit obligation by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which, in either case, are not callable or redeemable at the option of the issuers thereof, and shall also include a depository receipt issued by a bank (as defined in Section 3(a)(2) of the Securities Act of 1933, as amended), as custodian with respect to any such Government Securities or a specific payment of principal of or interest on any such Government Securities held by such custodian for the account of the holder of such depository receipt; </w:t>
      </w:r>
      <w:r>
        <w:rPr>
          <w:rFonts w:ascii="Times New Roman" w:hAnsi="Times New Roman"/>
          <w:i/>
          <w:sz w:val="20"/>
        </w:rPr>
        <w:t xml:space="preserve">provided </w:t>
      </w:r>
      <w:r>
        <w:rPr>
          <w:rFonts w:ascii="Times New Roman" w:hAnsi="Times New Roman"/>
          <w:sz w:val="20"/>
        </w:rPr>
        <w:t xml:space="preserve">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Interest Payment Date</w:t>
      </w:r>
      <w:r>
        <w:rPr>
          <w:rFonts w:ascii="Times New Roman" w:hAnsi="Times New Roman"/>
          <w:sz w:val="20"/>
        </w:rPr>
        <w:t xml:space="preserve">” has the meaning set forth in Section 2.01(d).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has the meaning set forth in Section 2.01(d).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the Company under the circumstances permitting the Company to select a replacement agency and in the manner for selecting a replacement agency, in each case as set forth in the definition of “Rating Agency.” </w:t>
      </w:r>
    </w:p>
    <w:p>
      <w:pPr>
        <w:pStyle w:val="TextBody"/>
        <w:bidi w:val="0"/>
        <w:spacing w:before="240" w:after="0"/>
        <w:jc w:val="left"/>
        <w:rPr/>
      </w:pPr>
      <w:r>
        <w:rPr/>
        <w:t>“</w:t>
      </w:r>
      <w:r>
        <w:rPr>
          <w:rFonts w:ascii="Times New Roman" w:hAnsi="Times New Roman"/>
          <w:b/>
          <w:sz w:val="20"/>
        </w:rPr>
        <w:t>Legal Defeasance</w:t>
      </w:r>
      <w:r>
        <w:rPr>
          <w:rFonts w:ascii="Times New Roman" w:hAnsi="Times New Roman"/>
          <w:sz w:val="20"/>
        </w:rPr>
        <w:t xml:space="preserve">” has the meaning set forth in Section 4.02.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has the meaning set forth in 2.01(c).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or any successor to its rating agency business.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has the meaning set forth in Section 2.01(a).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limited liability company, business trust, association, joint-stock company, joint venture, trust, incorporated or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each of Moody’s and S&amp;P; </w:t>
      </w:r>
      <w:r>
        <w:rPr>
          <w:rFonts w:ascii="Times New Roman" w:hAnsi="Times New Roman"/>
          <w:i/>
          <w:sz w:val="20"/>
        </w:rPr>
        <w:t>provided</w:t>
      </w:r>
      <w:r>
        <w:rPr>
          <w:rFonts w:ascii="Times New Roman" w:hAnsi="Times New Roman"/>
          <w:sz w:val="20"/>
        </w:rPr>
        <w:t xml:space="preserve">, that if any of Moody’s or S&amp;P ceases to rate the Notes or fails to make a rating of the Notes publicly available for reasons outside of the Company’s control, the Company may appoint another “nationally recognized statistical rating organization” (as defined in Section 3(a)(62) of the Exchange Act) as a replacement for Moody’s or S&amp;P, or both of them, as the case may be; </w:t>
      </w:r>
      <w:r>
        <w:rPr>
          <w:rFonts w:ascii="Times New Roman" w:hAnsi="Times New Roman"/>
          <w:i/>
          <w:sz w:val="20"/>
        </w:rPr>
        <w:t xml:space="preserve">provided </w:t>
      </w:r>
      <w:r>
        <w:rPr>
          <w:rFonts w:ascii="Times New Roman" w:hAnsi="Times New Roman"/>
          <w:sz w:val="20"/>
        </w:rPr>
        <w:t xml:space="preserve">that the Company shall give notice of such appointment to the Trustee.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when used with respect to any Note to be redeemed, means the date fixed for such redemption by or pursuant to this Second Supplemental Indenture.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when used with respect to any Note to be redeemed, means the price at which it is to be redeemed pursuant to this Second Supplemental Indenture.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any specified Person as of any date means the capital stock of such Person that is at the time entitled to vote generally in the election of the board of directors of such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Terms of Notes</w:t>
      </w:r>
      <w:r>
        <w:rPr>
          <w:rFonts w:ascii="Times New Roman" w:hAnsi="Times New Roman"/>
          <w:sz w:val="20"/>
        </w:rPr>
        <w:t xml:space="preserve">. Pursuant to Sections 2.01 and 2.03 of the Base Indenture, there is hereby established a series of Securities, the terms of which shall be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w:t>
      </w:r>
      <w:r>
        <w:rPr>
          <w:rFonts w:ascii="Times New Roman" w:hAnsi="Times New Roman"/>
          <w:sz w:val="20"/>
        </w:rPr>
        <w:t>. The Securities of this series shall be known and designated as the “4.950% Notes due 2029” (the “</w:t>
      </w:r>
      <w:r>
        <w:rPr>
          <w:rFonts w:ascii="Times New Roman" w:hAnsi="Times New Roman"/>
          <w:b/>
          <w:sz w:val="20"/>
        </w:rPr>
        <w:t>Notes</w:t>
      </w:r>
      <w:r>
        <w:rPr>
          <w:rFonts w:ascii="Times New Roman" w:hAnsi="Times New Roman"/>
          <w:sz w:val="20"/>
        </w:rPr>
        <w:t xml:space="preserve">”) of the Company. The CUSIP number of the Notes is 127055 AN1 and the ISIN of the Notes is US127055AN16.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Form and Denominations</w:t>
      </w:r>
      <w:r>
        <w:rPr>
          <w:rFonts w:ascii="Times New Roman" w:hAnsi="Times New Roman"/>
          <w:sz w:val="20"/>
        </w:rPr>
        <w:t xml:space="preserve">. The Notes will be issued only in fully registered form, and the authorized denominations of the Notes shall be $2,000 principal amount and any integral multiple of $1,000 above that amount. The Notes will initially be issued in the form of one or more Global Securities substantially in the form of Annex A attached hereto, with such modifications thereto as may be approved by the authorized officer executing the same. The Notes will be denominated in U.S. Dollars and payments of principal and interest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Maturity Date</w:t>
      </w:r>
      <w:r>
        <w:rPr>
          <w:rFonts w:ascii="Times New Roman" w:hAnsi="Times New Roman"/>
          <w:sz w:val="20"/>
        </w:rPr>
        <w:t>. The principal amount of, and all accrued and unpaid interest (if any) on, the Notes shall be payable in full on August 15, 2029 (the “</w:t>
      </w:r>
      <w:r>
        <w:rPr>
          <w:rFonts w:ascii="Times New Roman" w:hAnsi="Times New Roman"/>
          <w:b/>
          <w:sz w:val="20"/>
        </w:rPr>
        <w:t>Maturity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Interest</w:t>
      </w:r>
      <w:r>
        <w:rPr>
          <w:rFonts w:ascii="Times New Roman" w:hAnsi="Times New Roman"/>
          <w:sz w:val="20"/>
        </w:rPr>
        <w:t>. Interest payable on any Interest Payment Date (as defined below), the Maturity Date, or if applicable, the Redemption Date shall be the amount, if any, accrued from, and including, the immediately preceding Interest Payment Date in respect of which interest has been paid or duly provided for (or from and including the original issue date of August 21, 2026, if no interest has been paid or duly provided for with respect to the Notes) but excluding such Interest Payment Date, Maturity Date or, if applicable, Redemption Date, as the case may be (each, an “</w:t>
      </w:r>
      <w:r>
        <w:rPr>
          <w:rFonts w:ascii="Times New Roman" w:hAnsi="Times New Roman"/>
          <w:b/>
          <w:sz w:val="20"/>
        </w:rPr>
        <w:t>Interest Period</w:t>
      </w:r>
      <w:r>
        <w:rPr>
          <w:rFonts w:ascii="Times New Roman" w:hAnsi="Times New Roman"/>
          <w:sz w:val="20"/>
        </w:rPr>
        <w:t>”). The Notes will bear interest at the rate of 4.950% per year from the original issue date thereof to the Maturity Date. Interest on the Notes shall be payable semi-annually in arrears on February 15 and August 15 of each year, beginning on February 15, 2027 (each such date, an “</w:t>
      </w:r>
      <w:r>
        <w:rPr>
          <w:rFonts w:ascii="Times New Roman" w:hAnsi="Times New Roman"/>
          <w:b/>
          <w:sz w:val="20"/>
        </w:rPr>
        <w:t>Interest Payment Date</w:t>
      </w:r>
      <w:r>
        <w:rPr>
          <w:rFonts w:ascii="Times New Roman" w:hAnsi="Times New Roman"/>
          <w:sz w:val="20"/>
        </w:rPr>
        <w:t xml:space="preserve">”). The amount of interest payable for any semi-annual Interest Period will be computed on the basis of a 360-day year consisting of twelve 30-day months. The amount of interest payable for any period shorter than a full semi-annual Interest Period for which interest is computed will be computed on the basis of the actual number of days elapsed per 30-day month. In the event any Interest Payment Date on or before the Maturity Date falls on a day that is not a Business Day, the interest payment due on that date will be postponed to the next day that is a Business Day and no interest shall accrue as a result of such postponement.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Maturity Date or a Redemption Date for any Note falls on a day that is not a Business Day, then the related payments of principal, premium, if any, and interest may be made on the next succeeding date that is a Business Day (and no additional interest will accumulate on the amount payable for the period from and after the Maturity Date or a Redemption Date for such Note). Interest due on the Maturity Date or such Redemption Date (in each case, whether or not an Interest Payment Date) will be paid to the Person to whom principal of such Notes is payable.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To Whom Interest is Payable</w:t>
      </w:r>
      <w:r>
        <w:rPr>
          <w:rFonts w:ascii="Times New Roman" w:hAnsi="Times New Roman"/>
          <w:sz w:val="20"/>
        </w:rPr>
        <w:t xml:space="preserve">. Interest shall be payable to the Person in whose name the Notes are registered at the close of business on the regular record date for such interest, which shall be February 1 or August 1 (whether or not either is a Business Day), as the case may be, next preceding the Interest Payment Date, or in the event the Notes cease to be held in the form of one or more Global Securities, at the close of business on the date 15 days prior to that Interest Payment Date,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Sinking Fund; Holder Repurchase Right</w:t>
      </w:r>
      <w:r>
        <w:rPr>
          <w:rFonts w:ascii="Times New Roman" w:hAnsi="Times New Roman"/>
          <w:sz w:val="20"/>
        </w:rPr>
        <w:t xml:space="preserve">. The Notes shall not be subject to any sinking fund or analogous provision or be redeemable at the option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Forms</w:t>
      </w:r>
      <w:r>
        <w:rPr>
          <w:rFonts w:ascii="Times New Roman" w:hAnsi="Times New Roman"/>
          <w:sz w:val="20"/>
        </w:rPr>
        <w:t xml:space="preserve">. The Notes shall be substantially in the form of Annex A attached hereto, with such modifications thereto as may be approved by the authorized officer executing the same.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Registrar, Paying Agent and Place of Payment</w:t>
      </w:r>
      <w:r>
        <w:rPr>
          <w:rFonts w:ascii="Times New Roman" w:hAnsi="Times New Roman"/>
          <w:sz w:val="20"/>
        </w:rPr>
        <w:t xml:space="preserve">. The Company hereby appoints U.S. Bank Trust Company, National Association as Registrar and Paying Agent with respect to the Notes. The Notes may be surrendered for registration of transfer and for exchange at 100 Wall Street, Suite 600, New York, New York 10005 or at any other office or agency maintained by the Company for such purpose. The place of payment for the Notes shall be the Paying Agent’s office in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Change of Control Repurchase Events</w:t>
      </w:r>
      <w:r>
        <w:rPr>
          <w:rFonts w:ascii="Times New Roman" w:hAnsi="Times New Roman"/>
          <w:sz w:val="20"/>
        </w:rPr>
        <w:t>. Upon the occurrence of a Change of Control Triggering Event with respect to the Notes, unless the Company is required to redeem the Notes in accordance with this Second Supplemental Indenture or the terms of the Notes or the Company has exercised its right to redeem the Notes by giving notice to the Trustee in accordance with this Second Supplemental Indenture, each Holder of Notes shall have the right to require the Company to purchase all or a portion of such Holder’s Notes pursuant to the offer described below (the “</w:t>
      </w:r>
      <w:r>
        <w:rPr>
          <w:rFonts w:ascii="Times New Roman" w:hAnsi="Times New Roman"/>
          <w:b/>
          <w:sz w:val="20"/>
        </w:rPr>
        <w:t>Change of Control Offer</w:t>
      </w:r>
      <w:r>
        <w:rPr>
          <w:rFonts w:ascii="Times New Roman" w:hAnsi="Times New Roman"/>
          <w:sz w:val="20"/>
        </w:rPr>
        <w:t>”), at a purchase price equal to 101% of the principal amount thereof plus accrued and unpaid interest, if any, to, but excluding, the repurchase date (the “</w:t>
      </w:r>
      <w:r>
        <w:rPr>
          <w:rFonts w:ascii="Times New Roman" w:hAnsi="Times New Roman"/>
          <w:b/>
          <w:sz w:val="20"/>
        </w:rPr>
        <w:t>Change of Control Payment</w:t>
      </w:r>
      <w:r>
        <w:rPr>
          <w:rFonts w:ascii="Times New Roman" w:hAnsi="Times New Roman"/>
          <w:sz w:val="20"/>
        </w:rPr>
        <w:t xml:space="preserve">”), subject to the rights of Holders of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Within 30 days following the date upon which the Change of Control Triggering Event occurred with respect to the Notes, or at the Company’s option, prior to any Change of Control but after the first public announcement by the Company of the pending Change of Control if a definitive agreement is in place with respect to the event constituting a Change of Control at the time of mailing (or delivery by electronic transmission in accordance with the applicable procedures of DTC) the Change of Control Offer, the Company shall be required to send, by first class mail (or electronic transmission in accordance with the applicable procedures of DTC), a notice to each Holder of Notes, with a copy to the Trustee, which notice shall govern the terms of the Change of Control Offer. Such notice shall state, among other things, the purchase date, which must be no earlier than 30 days nor later than 60 days from the date such notice is mailed (or delivered by electronic transmission in accordance with the applicable procedures of DTC), other than as may be required by law (the “</w:t>
      </w:r>
      <w:r>
        <w:rPr>
          <w:rFonts w:ascii="Times New Roman" w:hAnsi="Times New Roman"/>
          <w:b/>
          <w:sz w:val="20"/>
        </w:rPr>
        <w:t>Change of Control Payment Date</w:t>
      </w:r>
      <w:r>
        <w:rPr>
          <w:rFonts w:ascii="Times New Roman" w:hAnsi="Times New Roman"/>
          <w:sz w:val="20"/>
        </w:rPr>
        <w:t xml:space="preserve">”). The notice, if mailed (or delivered by electronic transmission in accordance with the applicable procedures of DTC) prior to the date of consummation of the Change of Control, shall state that the Change of Control Offer is conditioned on the Change of Control being consummated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such notice is delivered prior to the occurrence of a pending Change of Control stating that the Change of Control Offer is conditional on the occurrence of such Change of Control and, if applicable, such notice will state that (a) the Change of Control Payment Date may be delayed, at the Company’s discretion, until such time (including more than 60 days after the date the notice was mailed or delivered, including by electronic transmission) as any or all such conditions are satisfied, (b) such purchase may not occur and such notice may be rescinded in the event that any or all such conditions are not satisfied by the Change of Control Payment Date, or by the Change of Control Payment Date as so delayed, and/or (c) such notice may be rescinded at any time in the Company’s discretion in its good faith judgment any or all of such conditions will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Company shall,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repurchased and that all conditions precedent to the Change of Control Offer and to the repurchase by the Company or by a third party of Notes pursuant to the Change of Control Offer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not be required to make a Change of Control Offer with respect to the Notes if a third party makes such an offer in the manner, at the times and otherwise in compliance with the requirements for such an offer made by the Company and such third party purchases all the Notes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the Company shall comply with those securities laws and regulations and shall not be deemed to have breached its obligations under this Section 3.01 by virtue of any such conflict.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Company’s Option to Effect Legal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by or pursuant to a Board Vote, at any time, with respect to the Notes, elect to have either Section 4.02 or 4.03 be applied to all outstanding Notes upon compliance with the conditions set forth below in this Article IV. </w:t>
      </w:r>
    </w:p>
    <w:p>
      <w:pPr>
        <w:pStyle w:val="TextBody"/>
        <w:bidi w:val="0"/>
        <w:spacing w:before="240" w:after="0"/>
        <w:jc w:val="left"/>
        <w:rPr>
          <w:rFonts w:ascii="Times New Roman" w:hAnsi="Times New Roman"/>
          <w:sz w:val="20"/>
        </w:rPr>
      </w:pPr>
      <w:r>
        <w:rPr>
          <w:rFonts w:ascii="Times New Roman" w:hAnsi="Times New Roman"/>
          <w:sz w:val="20"/>
        </w:rPr>
        <w:t xml:space="preserve">Section 4.02 Legal Defeasance and Discharge.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4.01 hereof of the option applicable to this Section 4.02 with respect to the Notes, the Company shall, subject to the satisfaction of the conditions set forth in Section 4.04 hereof, be deemed to have been discharged from its obligations with respect to all outstanding Notes and the Base Indenture with respect to the Notes on the date the conditions set forth below are satisfied (“</w:t>
      </w:r>
      <w:r>
        <w:rPr>
          <w:rFonts w:ascii="Times New Roman" w:hAnsi="Times New Roman"/>
          <w:b/>
          <w:sz w:val="20"/>
        </w:rPr>
        <w:t>Legal Defeasance</w:t>
      </w:r>
      <w:r>
        <w:rPr>
          <w:rFonts w:ascii="Times New Roman" w:hAnsi="Times New Roman"/>
          <w:sz w:val="20"/>
        </w:rPr>
        <w:t xml:space="preserve">”). For this purpose, Legal Defeasance means that the Company shall be deemed to have paid and discharged the entire Indebtedness represented by the outstanding Notes, which shall thereafter be deemed to be “outstanding” only for the purposes of Section 4.05 hereof and the other Sections of this Second Supplemental Indenture referred to in clauses (a) and (b) below, to have satisfied all its other obligations under the Notes and the Base Indenture with respect to the Notes (and the Trustee, on demand of and at the expense of the Company, shall execute proper instruments acknowledging the same) and to have cured all then existing Events of Default, except for the following provisions which shall survive until otherwise terminated or discharged hereunder: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Holders of Notes to receive payments in respect of the principal of, premium, if any, and interest on the Notes when such payments are due solely out of the trust created pursuant to this Second Supplemental Indenture referred to in Section 4.04 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Company’s obligations with respect to the Notes concerning issuing temporary Notes, registration of such Notes, mutilated, destroyed, lost or stolen Notes and the maintenance of an office or agency for payment and money for security payments held in trust; </w:t>
      </w:r>
    </w:p>
    <w:p>
      <w:pPr>
        <w:pStyle w:val="TextBody"/>
        <w:bidi w:val="0"/>
        <w:spacing w:before="240" w:after="0"/>
        <w:jc w:val="left"/>
        <w:rPr>
          <w:rFonts w:ascii="Times New Roman" w:hAnsi="Times New Roman"/>
          <w:sz w:val="20"/>
        </w:rPr>
      </w:pPr>
      <w:r>
        <w:rPr>
          <w:rFonts w:ascii="Times New Roman" w:hAnsi="Times New Roman"/>
          <w:sz w:val="20"/>
        </w:rPr>
        <w:t xml:space="preserve">(c) the rights, powers, trusts, duties and immunities of the Trustee, and the Company’s obligations in connection therewith; and </w:t>
      </w:r>
    </w:p>
    <w:p>
      <w:pPr>
        <w:pStyle w:val="TextBody"/>
        <w:bidi w:val="0"/>
        <w:spacing w:before="240" w:after="0"/>
        <w:jc w:val="left"/>
        <w:rPr>
          <w:rFonts w:ascii="Times New Roman" w:hAnsi="Times New Roman"/>
          <w:sz w:val="20"/>
        </w:rPr>
      </w:pPr>
      <w:r>
        <w:rPr>
          <w:rFonts w:ascii="Times New Roman" w:hAnsi="Times New Roman"/>
          <w:sz w:val="20"/>
        </w:rPr>
        <w:t xml:space="preserve">(d) this Article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compliance with this Article IV, the Company may exercise its option under this Section 4.02 notwithstanding the prior exercise of its option under Section 4.03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4.03 Covenant Defeasance.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4.01 hereof of the option applicable to this Section 4.03, the Company shall, subject to the satisfaction of the conditions set forth in Section 4.04 hereof, be released from its obligations under the covenants (each, a “</w:t>
      </w:r>
      <w:r>
        <w:rPr>
          <w:rFonts w:ascii="Times New Roman" w:hAnsi="Times New Roman"/>
          <w:b/>
          <w:sz w:val="20"/>
        </w:rPr>
        <w:t>Defeased Covenant</w:t>
      </w:r>
      <w:r>
        <w:rPr>
          <w:rFonts w:ascii="Times New Roman" w:hAnsi="Times New Roman"/>
          <w:sz w:val="20"/>
        </w:rPr>
        <w:t>,” and collectively, the “</w:t>
      </w:r>
      <w:r>
        <w:rPr>
          <w:rFonts w:ascii="Times New Roman" w:hAnsi="Times New Roman"/>
          <w:b/>
          <w:sz w:val="20"/>
        </w:rPr>
        <w:t>Defeased Covenants</w:t>
      </w:r>
      <w:r>
        <w:rPr>
          <w:rFonts w:ascii="Times New Roman" w:hAnsi="Times New Roman"/>
          <w:sz w:val="20"/>
        </w:rPr>
        <w:t>”) contained in sections 4.03, 4.04, 4.05, 4.07 and 5.02 of the Base Indenture, with respect to the outstanding Notes on and after the date the conditions set forth in Section 4.04 hereof are satisfied (“</w:t>
      </w:r>
      <w:r>
        <w:rPr>
          <w:rFonts w:ascii="Times New Roman" w:hAnsi="Times New Roman"/>
          <w:b/>
          <w:sz w:val="20"/>
        </w:rPr>
        <w:t>Covenant Defeasance</w:t>
      </w:r>
      <w:r>
        <w:rPr>
          <w:rFonts w:ascii="Times New Roman" w:hAnsi="Times New Roman"/>
          <w:sz w:val="20"/>
        </w:rPr>
        <w:t xml:space="preserve">”), and the Notes shall thereafter be deemed not “outstanding” for the purposes of any direction, waiver, consent or declaration or act of Holders (and the consequences of any thereof) in connection with such Defeased Covenants, but shall continue to be deemed “outstanding” for all other purposes hereunder (it being understood that the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Defeased Covenant, whether directly or indirectly, by reason of any reference elsewhere herein to any such Defeased Covenant or by reason of any reference in any such Defeased Covenant to any other provision herein or in any other document and such omission to comply shall not constitute a Default or an Event of Default under Section 6.01 of the Base Indenture, but, except as specified above, the remainder of the Base Indenture and the Notes shall be unaffected thereby. In addition, upon the Company’s exercise under Section 4.01 hereof of the option applicable to this Section 4.03 hereof, subject to the satisfaction of the conditions set forth in Section 4.04 hereof, Section 6.01(4) of the Base Indenture shall not constitute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Conditions to Legal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under either Section 4.02 or 4.03 hereof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must irrevocably deposit with the Trustee, in trust, for the benefit of the Holders of the Notes, cash in U.S. dollars, U.S. dollar-denominated Government Securities, or a combination thereof, in such amounts as will be sufficient, in the opinion of a nationally recognized investment bank, appraisal firm or firm of independent public accountants, to pay the principal of, premium, if any, and interest due on the Notes on the date of maturity or redemption thereof, as the case may be, and the Company must specify whether the Notes are being defeased to maturity or to a particular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Legal Defeasance, the Company shall have delivered to the Trustee an Opinion of Counsel reasonably acceptable to the Trustee confirming that, subject to customary assumptions and exclusions,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received from, or there has been published by, the United States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(B) since the issue date of the Notes, there has been a change in the applicable U.S. federal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in the case of Covenant Defeasance, the Company shall have delivered to the Trustee an Opinion of Counsel reasonably acceptable to the Trustee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(4) no Default or Event of Default (other than that resulting from any borrowing of funds to be applied to make the deposit required to effect such Legal Defeasance or Covenant Defeasance and any similar and simultaneous deposit relating to other Debt and, in each case, the granting of Liens in connection therewith) shall have occurred and be continuing on the date of such deposit; </w:t>
      </w:r>
    </w:p>
    <w:p>
      <w:pPr>
        <w:pStyle w:val="TextBody"/>
        <w:bidi w:val="0"/>
        <w:spacing w:before="240" w:after="0"/>
        <w:jc w:val="left"/>
        <w:rPr>
          <w:rFonts w:ascii="Times New Roman" w:hAnsi="Times New Roman"/>
          <w:sz w:val="20"/>
        </w:rPr>
      </w:pPr>
      <w:r>
        <w:rPr>
          <w:rFonts w:ascii="Times New Roman" w:hAnsi="Times New Roman"/>
          <w:sz w:val="20"/>
        </w:rPr>
        <w:t xml:space="preserve">(5) such Legal Defeasance or Covenant Defeasance shall not result in a breach or violation of, or constitute a default under, any other agreement or instrument to which the Company is a party or by which it is bound (other than an Event of Default resulting from borrowing of funds to be applied to such deposit and any similar and simultaneous deposit relating to other indebtedness, and in each case, the grant of any lien securing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(6) the Company must deliver to the Trustee an Officers’ Certificate stating that the deposit was not made by the Company with the intent of defeating, hindering, delaying or defrauding any creditors of the Company or others; and </w:t>
      </w:r>
    </w:p>
    <w:p>
      <w:pPr>
        <w:pStyle w:val="TextBody"/>
        <w:bidi w:val="0"/>
        <w:spacing w:before="240" w:after="0"/>
        <w:jc w:val="left"/>
        <w:rPr>
          <w:rFonts w:ascii="Times New Roman" w:hAnsi="Times New Roman"/>
          <w:sz w:val="20"/>
        </w:rPr>
      </w:pPr>
      <w:r>
        <w:rPr>
          <w:rFonts w:ascii="Times New Roman" w:hAnsi="Times New Roman"/>
          <w:sz w:val="20"/>
        </w:rPr>
        <w:t xml:space="preserve">(7) the Company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Deposited Money and Government Securities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4.06 hereof, all money and Government Securities (including the proceeds thereof) deposited with the Trustee pursuant to Section 4.04 hereof in respect of the outstanding Notes shall be held in trust and applied by the Trustee, in accordance with the provisions of the Notes and this Second Supplemental Indenture, to the payment, either directly or through any Paying Agent (including the Company acting as Paying Agent) as the Trustee may determine, to the Holders of the Notes of all sums due and to become due thereon in respect of principal, premium, if any,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cash or Government Securities deposited pursuant to Section 4.04 hereof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IV to the contrary notwithstanding, the Trustee shall deliver or pay to the Company from time to time upon the request of the Company any money or Government Securities held by it as provided in Section 4.04 hereof which, in the opinion of a nationally recognized firm of independent public accountants expressed in a written certification thereof delivered to the Trustee (which may be the opinion delivered under Section 4.04(1) hereof), are in excess of the amount thereof that would then be required to be deposited to effect an equivalent Legal Defeasance or Covenant Defeasance.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U.S. dollars or Government Securities in accordance with Section 4.02 or 4.03 hereof, as the case may be, by reason of any order or judgment of any court or governmental authority enjoining, restraining or otherwise prohibiting such application, then the Company’s obligations under the Base Indenture and the Notes shall be revived and reinstated as though no deposit had occurred pursuant to Section 4.02 or 4.03 hereof until such time as the Trustee or Paying Agent is permitted to apply all such money in accordance with Section 4.02 or 4.03 hereof, as the case may be; </w:t>
      </w:r>
      <w:r>
        <w:rPr>
          <w:rFonts w:ascii="Times New Roman" w:hAnsi="Times New Roman"/>
          <w:i/>
          <w:sz w:val="20"/>
        </w:rPr>
        <w:t xml:space="preserve">provided </w:t>
      </w:r>
      <w:r>
        <w:rPr>
          <w:rFonts w:ascii="Times New Roman" w:hAnsi="Times New Roman"/>
          <w:sz w:val="20"/>
        </w:rPr>
        <w:t xml:space="preserve">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Relationship to Existing Base Indenture</w:t>
      </w:r>
      <w:r>
        <w:rPr>
          <w:rFonts w:ascii="Times New Roman" w:hAnsi="Times New Roman"/>
          <w:sz w:val="20"/>
        </w:rPr>
        <w:t xml:space="preserve">. The Second Supplemental Indenture is a supplemental indenture within the meaning of the Base Indenture. The Base Indenture, as supplemented and amended by this Second Supplemental Indenture, is in all respects ratified, confirmed and approved and, with respect to the Notes, the Base Indenture, as supplemented and amended by this Second Supplemental Indenture, shall be read, taken and construed as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Modification of the Existing Base Indenture</w:t>
      </w:r>
      <w:r>
        <w:rPr>
          <w:rFonts w:ascii="Times New Roman" w:hAnsi="Times New Roman"/>
          <w:sz w:val="20"/>
        </w:rPr>
        <w:t xml:space="preserve">. Except as expressly modified by this Second Supplemental Indenture, the provisions of the Base Indenture shall govern the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Governing Law</w:t>
      </w:r>
      <w:r>
        <w:rPr>
          <w:rFonts w:ascii="Times New Roman" w:hAnsi="Times New Roman"/>
          <w:sz w:val="20"/>
        </w:rPr>
        <w:t xml:space="preserve">. This Second Supplemental Indenture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Counterparts</w:t>
      </w:r>
      <w:r>
        <w:rPr>
          <w:rFonts w:ascii="Times New Roman" w:hAnsi="Times New Roman"/>
          <w:sz w:val="20"/>
        </w:rPr>
        <w:t xml:space="preserve">. This Second Supplemental Indenture or any document to be signed in connection therewith may be executed by manual, electronic or facsimile signature in any number of counterparts, each of which when so executed shall be deemed to be an original, but all such counterparts shall together constitute one and the same instrument. The exchange of copies of this Second Supplemental Indenture and of signature pages by PDF transmission shall constitute effective execution and delivery of this Second Supplemental Indenture as to the parties hereto and may be used in lieu of the original instrument for all purposes. Signatures of the parties hereto transmitted by PDF (including any electronic signature covered by the U.S. federal ESIGN Act of 2000, Uniform Electronic Transactions Act, the Electronic Signatures and Records Act or other applicable law) shall be deemed to be their original signatures for all purposes. The words “executed,” “signed,” “signature,” “delivery” and words of like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import in or relating to this Second Supplemental Indenture or any document to be signed in connection with this Second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Makes No Representation</w:t>
      </w:r>
      <w:r>
        <w:rPr>
          <w:rFonts w:ascii="Times New Roman" w:hAnsi="Times New Roman"/>
          <w:sz w:val="20"/>
        </w:rPr>
        <w:t xml:space="preserve">. The recitals contained herein are made by the Company and not by the Trustee, and the Trustee assumes no responsibility for the correctness thereof. The Trustee makes no representation as to the validity or sufficiency of this Second Supplemental Indenture (except for its execution thereof and its certificates of authentication of the Notes).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Second Supplemental Indenture to be duly executed, and their respective corporate seals, if applicable, to be hereunto affixed and attested,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CABOT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McLaughlin</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Erica McLaughlin</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Executive Vice President and Chief Financial Officer</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Attest:</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Colleen Kern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Jesse Yuen</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Jesse Yuen</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Attest:</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W. Doucette</w:t>
            </w:r>
          </w:p>
        </w:tc>
      </w:tr>
      <w:tr>
        <w:trPr/>
        <w:tc>
          <w:tcPr>
            <w:tcW w:w="6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David W. Doucette</w:t>
            </w:r>
          </w:p>
        </w:tc>
      </w:tr>
      <w:tr>
        <w:trPr/>
        <w:tc>
          <w:tcPr>
            <w:tcW w:w="6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Second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THIS NOTE IS A GLOBAL SECURITY WITHIN THE MEANING OF THE INDENTURE HEREINAFTER REFERRED TO AND IS REGISTERED IN THE NAME OF THE DEPOSITORY (AS DEFINED IN THE INDENTURE) OR A NOMINEE OF THE DEPOSITORY. THIS GLOBAL SECURITY IS EXCHANGEABLE FOR SECURITIES REGISTERED IN THE NAME OF ANY PERSON OTHER THAN THE DEPOSITORY OR ITS NOMINEE ONLY IN THE LIMITED CIRCUMSTANCES DESCRIBED IN THE INDENTURE, AND, UNLESS AND UNTIL IT IS EXCHANGED IN WHOLE AND IN PART FOR SECURITIES IN DEFINITIVE FORM, MAY NOT BE TRANSFERRED EXCEPT AS A WHOLE BY THE DEPOSITORY TO A NOMINEE OF THE DEPOSITORY, BY A NOMINEE OF THE DEPOSITORY TO THE DEPOSITORY OR ANOTHER NOMINEE OF THE DEPOSITORY OR BY THE DEPOSITORY OR ANY SUCH NOMINEE TO A SUCCESSOR DEPOSITORY OR A NOMINEE OF SUCH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(AS DEFINED BELOW)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CABOT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4.950%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9"/>
        <w:gridCol w:w="120"/>
        <w:gridCol w:w="3128"/>
        <w:gridCol w:w="120"/>
        <w:gridCol w:w="3348"/>
      </w:tblGrid>
      <w:tr>
        <w:trPr/>
        <w:tc>
          <w:tcPr>
            <w:tcW w:w="34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3489" w:type="dxa"/>
            <w:tcBorders/>
          </w:tcPr>
          <w:p>
            <w:pPr>
              <w:pStyle w:val="TableContents"/>
              <w:bidi w:val="0"/>
              <w:spacing w:before="0" w:after="283"/>
              <w:jc w:val="left"/>
              <w:rPr/>
            </w:pPr>
            <w:r>
              <w:rPr/>
              <w:t>No. _</w:t>
            </w:r>
          </w:p>
        </w:tc>
        <w:tc>
          <w:tcPr>
            <w:tcW w:w="12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right"/>
              <w:rPr/>
            </w:pPr>
            <w:r>
              <w:rPr/>
              <w:t>CUSIP No. 127055 AN1</w:t>
            </w:r>
          </w:p>
        </w:tc>
      </w:tr>
      <w:tr>
        <w:trPr/>
        <w:tc>
          <w:tcPr>
            <w:tcW w:w="348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right"/>
              <w:rPr/>
            </w:pPr>
            <w:r>
              <w:rPr/>
              <w:t>ISIN No. US127055AN16</w:t>
            </w:r>
          </w:p>
        </w:tc>
      </w:tr>
    </w:tbl>
    <w:p>
      <w:pPr>
        <w:pStyle w:val="TextBody"/>
        <w:bidi w:val="0"/>
        <w:spacing w:before="240" w:after="0"/>
        <w:jc w:val="righ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Cabot Corporation, a corporation duly incorporated and subsisting under the laws of the State of Delaware (herein called the “</w:t>
      </w:r>
      <w:r>
        <w:rPr>
          <w:rFonts w:ascii="Times New Roman" w:hAnsi="Times New Roman"/>
          <w:b/>
          <w:sz w:val="20"/>
        </w:rPr>
        <w:t>Company</w:t>
      </w:r>
      <w:r>
        <w:rPr>
          <w:rFonts w:ascii="Times New Roman" w:hAnsi="Times New Roman"/>
          <w:sz w:val="20"/>
        </w:rPr>
        <w:t xml:space="preserve">”, which term includes any successor corporation under the Indenture hereinafter referred to), for value received, hereby promises to pay to Cede &amp; Co., or registered assigns, the principal sum of ___________________ MILLION U.S. Dollars (U.S. $______________) on August 15, 2029 and to pay interest thereon from August 21, 2026 or from the most recent Interest Payment Date to which interest has been paid or duly provided for, semi-annually on February 15 and August 15 in each year, commencing February 15, 2027, at the rate of 4.950% per annum,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the February 1 or August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Notes of this series not less than five days prior to such special record date, or be paid at any time in any other lawful manner not inconsistent with the requirements of any securities exchange on which the Notes of this series may be listed, and upon such notice as may be required by such exchange, all as more fully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Note shall be made at the office or agency of the Trustee maintained for that purpose in New York, New York, in such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for so long as the Notes are represented in global form by one or more Global Securities, all payments of principal (and premium, if any) and interest shall be made by wire transfer of immediately available funds to the Depository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w:t>
      </w:r>
      <w:r>
        <w:rPr>
          <w:rFonts w:ascii="Times New Roman" w:hAnsi="Times New Roman"/>
          <w:i/>
          <w:sz w:val="20"/>
        </w:rPr>
        <w:t xml:space="preserve">provided </w:t>
      </w:r>
      <w:r>
        <w:rPr>
          <w:rFonts w:ascii="Times New Roman" w:hAnsi="Times New Roman"/>
          <w:sz w:val="20"/>
        </w:rPr>
        <w:t xml:space="preserve">that the Company may at its option pay interest by check to the registered address of each Holder of a definitive Note.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1"/>
        <w:gridCol w:w="250"/>
        <w:gridCol w:w="2511"/>
      </w:tblGrid>
      <w:tr>
        <w:trPr/>
        <w:tc>
          <w:tcPr>
            <w:tcW w:w="1321"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CABOT CORPORATION</w:t>
            </w:r>
          </w:p>
        </w:tc>
      </w:tr>
      <w:tr>
        <w:trPr>
          <w:trHeight w:val="240" w:hRule="atLeast"/>
        </w:trPr>
        <w:tc>
          <w:tcPr>
            <w:tcW w:w="1321" w:type="dxa"/>
            <w:tcBorders/>
            <w:vAlign w:val="center"/>
          </w:tcPr>
          <w:p>
            <w:pPr>
              <w:pStyle w:val="TableContents"/>
              <w:bidi w:val="0"/>
              <w:spacing w:before="0" w:after="283"/>
              <w:jc w:val="left"/>
              <w:rPr>
                <w:sz w:val="4"/>
                <w:szCs w:val="4"/>
              </w:rPr>
            </w:pPr>
            <w:r>
              <w:rPr>
                <w:sz w:val="4"/>
                <w:szCs w:val="4"/>
              </w:rPr>
            </w:r>
          </w:p>
        </w:tc>
        <w:tc>
          <w:tcPr>
            <w:tcW w:w="2761" w:type="dxa"/>
            <w:gridSpan w:val="2"/>
            <w:tcBorders/>
            <w:vAlign w:val="center"/>
          </w:tcPr>
          <w:p>
            <w:pPr>
              <w:pStyle w:val="TableContents"/>
              <w:bidi w:val="0"/>
              <w:spacing w:before="0" w:after="283"/>
              <w:jc w:val="left"/>
              <w:rPr>
                <w:sz w:val="4"/>
                <w:szCs w:val="4"/>
              </w:rPr>
            </w:pPr>
            <w:r>
              <w:rPr>
                <w:sz w:val="4"/>
                <w:szCs w:val="4"/>
              </w:rPr>
            </w:r>
          </w:p>
        </w:tc>
      </w:tr>
      <w:tr>
        <w:trPr/>
        <w:tc>
          <w:tcPr>
            <w:tcW w:w="1321" w:type="dxa"/>
            <w:tcBorders/>
          </w:tcPr>
          <w:p>
            <w:pPr>
              <w:pStyle w:val="TableContents"/>
              <w:bidi w:val="0"/>
              <w:spacing w:before="0" w:after="283"/>
              <w:jc w:val="left"/>
              <w:rPr/>
            </w:pPr>
            <w:r>
              <w:rPr/>
              <w:t>By:</w:t>
            </w:r>
          </w:p>
        </w:tc>
        <w:tc>
          <w:tcPr>
            <w:tcW w:w="250" w:type="dxa"/>
            <w:tcBorders/>
            <w:vAlign w:val="bottom"/>
          </w:tcPr>
          <w:p>
            <w:pPr>
              <w:pStyle w:val="TableContents"/>
              <w:bidi w:val="0"/>
              <w:spacing w:before="0" w:after="283"/>
              <w:jc w:val="left"/>
              <w:rPr/>
            </w:pPr>
            <w:r>
              <w:rPr/>
              <w:t> </w:t>
            </w:r>
          </w:p>
        </w:tc>
        <w:tc>
          <w:tcPr>
            <w:tcW w:w="251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6"/>
        <w:gridCol w:w="83"/>
        <w:gridCol w:w="3503"/>
      </w:tblGrid>
      <w:tr>
        <w:trPr/>
        <w:tc>
          <w:tcPr>
            <w:tcW w:w="496"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0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issued under the within 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242"/>
        <w:gridCol w:w="2561"/>
      </w:tblGrid>
      <w:tr>
        <w:trPr/>
        <w:tc>
          <w:tcPr>
            <w:tcW w:w="127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242" w:type="dxa"/>
            <w:tcBorders/>
            <w:vAlign w:val="bottom"/>
          </w:tcPr>
          <w:p>
            <w:pPr>
              <w:pStyle w:val="TableContents"/>
              <w:bidi w:val="0"/>
              <w:spacing w:before="0" w:after="283"/>
              <w:jc w:val="left"/>
              <w:rPr/>
            </w:pPr>
            <w:r>
              <w:rPr/>
              <w:t> </w:t>
            </w:r>
          </w:p>
        </w:tc>
        <w:tc>
          <w:tcPr>
            <w:tcW w:w="256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of 2029 Note]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of the Company (the “</w:t>
      </w:r>
      <w:r>
        <w:rPr>
          <w:rFonts w:ascii="Times New Roman" w:hAnsi="Times New Roman"/>
          <w:b/>
          <w:sz w:val="20"/>
        </w:rPr>
        <w:t>Notes</w:t>
      </w:r>
      <w:r>
        <w:rPr>
          <w:rFonts w:ascii="Times New Roman" w:hAnsi="Times New Roman"/>
          <w:sz w:val="20"/>
        </w:rPr>
        <w:t>”), issued and to be issued in one or more series under an Indenture, dated as of June 22, 2022 (the “</w:t>
      </w:r>
      <w:r>
        <w:rPr>
          <w:rFonts w:ascii="Times New Roman" w:hAnsi="Times New Roman"/>
          <w:b/>
          <w:sz w:val="20"/>
        </w:rPr>
        <w:t>Base Indenture</w:t>
      </w:r>
      <w:r>
        <w:rPr>
          <w:rFonts w:ascii="Times New Roman" w:hAnsi="Times New Roman"/>
          <w:sz w:val="20"/>
        </w:rPr>
        <w:t>”, which term shall have the meaning assigned to it in such instrument), as supplemented by a Second Supplemental Indenture, dated as of August 21, 2026 (the “</w:t>
      </w:r>
      <w:r>
        <w:rPr>
          <w:rFonts w:ascii="Times New Roman" w:hAnsi="Times New Roman"/>
          <w:b/>
          <w:sz w:val="20"/>
        </w:rPr>
        <w:t>Second 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between the Company and U.S. Bank Trust Company, National Association, as Trustee (the “</w:t>
      </w:r>
      <w:r>
        <w:rPr>
          <w:rFonts w:ascii="Times New Roman" w:hAnsi="Times New Roman"/>
          <w:b/>
          <w:sz w:val="20"/>
        </w:rPr>
        <w:t>Trustee</w:t>
      </w:r>
      <w:r>
        <w:rPr>
          <w:rFonts w:ascii="Times New Roman" w:hAnsi="Times New Roman"/>
          <w:sz w:val="20"/>
        </w:rPr>
        <w:t xml:space="preserve">”, which term includes any successor trustee under the Indenture), and reference is hereby made to the Indenture for a statement of the respective rights, limitations of rights, obligations,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$350,000,000. The Company may at any time issue additional securities under the Indenture in unlimited amounts having the same terms as the Notes (except that if such additional securities are not treated as fungible with the Notes for U.S. federal income tax purposes, the additional securities will be assigned a different CUSIP and/or ISIN number or other identification number) so that such additional securities shall be consolidated with the Notes, including for purposes of voting and redemption; </w:t>
      </w:r>
      <w:r>
        <w:rPr>
          <w:rFonts w:ascii="Times New Roman" w:hAnsi="Times New Roman"/>
          <w:i/>
          <w:sz w:val="20"/>
        </w:rPr>
        <w:t xml:space="preserve">provided </w:t>
      </w:r>
      <w:r>
        <w:rPr>
          <w:rFonts w:ascii="Times New Roman" w:hAnsi="Times New Roman"/>
          <w:sz w:val="20"/>
        </w:rPr>
        <w:t xml:space="preserve">that no such additional securities may be issued if an Event of Default has occurred and is continuing with respect to the Notes. Any such additional securities shall, together with the outstanding Notes, constitute a single series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Prior to July 15, 2029 (one month prior to the Maturity Date) (the “</w:t>
      </w:r>
      <w:r>
        <w:rPr>
          <w:rFonts w:ascii="Times New Roman" w:hAnsi="Times New Roman"/>
          <w:b/>
          <w:sz w:val="20"/>
        </w:rPr>
        <w:t>Par Call Date</w:t>
      </w:r>
      <w:r>
        <w:rPr>
          <w:rFonts w:ascii="Times New Roman" w:hAnsi="Times New Roman"/>
          <w:sz w:val="20"/>
        </w:rPr>
        <w:t xml:space="preserve">”), the Notes of this series are subject to redemption, at the option of the Company, in whole or in part, at any time and from time to time, upon not less than 10 nor more than 60 days’ prior notice mailed (or delivered by electronic transmission in accordance with the applicable procedures of DTC) to each Holder of Notes to be redeemed at his address as it appears in the register,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15 basis points; </w:t>
      </w:r>
      <w:r>
        <w:rPr>
          <w:rFonts w:ascii="Times New Roman" w:hAnsi="Times New Roman"/>
          <w:i/>
          <w:sz w:val="20"/>
        </w:rPr>
        <w:t xml:space="preserve">less </w:t>
      </w:r>
      <w:r>
        <w:rPr>
          <w:rFonts w:ascii="Times New Roman" w:hAnsi="Times New Roman"/>
          <w:sz w:val="20"/>
        </w:rPr>
        <w:t xml:space="preserve">(b) interest accrued to the date of redemption and (2) 100% of the principal amount of the Notes to be redeemed, </w:t>
      </w:r>
      <w:r>
        <w:rPr>
          <w:rFonts w:ascii="Times New Roman" w:hAnsi="Times New Roman"/>
          <w:i/>
          <w:sz w:val="20"/>
        </w:rPr>
        <w:t>plus</w:t>
      </w:r>
      <w:r>
        <w:rPr>
          <w:rFonts w:ascii="Times New Roman" w:hAnsi="Times New Roman"/>
          <w:sz w:val="20"/>
        </w:rPr>
        <w:t xml:space="preserve">,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Notes of this series are subject to redemption, at the option of the Company, in whole or in part, at any time and from time to time, at a Redemption Price equal to 100% of the principal amount of the Notes being redeemed, plus accrued and unpaid interest thereon, if any, to, but excluding, the Redemption Date.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procedures of DTC)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On and after any Redemption Date, interest will cease to accrue on the Notes called for redemption. Prior to any Redemption Date, the Company shall deposit with the Paying Agent money sufficient to pay the Redemption Price of and accrued interest, if any, on the Notes to be redeemed on such date. If the Company is redeeming less than all of the Notes, the Trustee shall select the Notes to be redeemed by such method as the Trustee deems fair and appropriate in accordance with methods generally used at the time of selection by fiduciaries in similar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redemption may, at the Company’s discretion, be subject to one or more conditions precedent, including, but not limited to, the completion or occurrence of a related transaction or event, as the case may be, and any notice of redemption made in connection with a related transaction or event may, at the Company’s discretion, be given prior to the completion or the occurrence thereof. If such redemption is subject to satisfaction of one or more conditions precedent, such notice will describe each such condition, and if applicable, will state that (a) the redemption date may be delayed, at our discretion, until such time (including more than 60 days after the date the notice of redemption was mailed or delivered, including by electronic transmission) as any or all such conditions are satisfied (or waived by us in our sole discretion), (b) such redemption may not occur and such notice may be rescinded in the event that any or all such conditions are not satisfied (or waived by us in our sole discretion) by the redemption date, or by the redemption date as so delayed, and/or (c) such notice may be rescinded at any time in our discretion if in our good faith judgment any or all of such conditions will not be satisfied. If any such condition precedent has not been satisfied, we shall provide written notice prior to the redemption date. Upon receipt of such notice, the notice of redemption shall be rescinded or delayed, and the redemption of the notes shall be rescinded or delayed as provided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Note and certain restrictive covenants and Events of Default with respect to this Note,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Notes of this series shall occur and be continuing, the principal of the Notes of this series may be declared due and payable in the manner and with the effect provided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of any series thereunder may be amended or supplemented pursuant to Article Nine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may pursue a remedy with respect to the Indenture or this Note only as provided in Section 6.06 of the Base Indenture. The foregoing shall not apply to any suit instituted by the Holder of this Note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is registrable in the Registrar’s books,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Registrar duly executed by, the Holder hereof or the Holder’s attorney duly authorized in writing, and thereupon one or more new Notes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Notes of this series are issuable only in registered form in denominations of $2,000 and any integral multiple of $1,000 thereof. As provided in the Indenture and subject to certain limitations therein set forth, the Notes of this series are exchangeable for a like aggregate principal amount of Notes of this series and of like tenor of a different authorized denomination, as requested by the Holder surrendering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service charge shall be made to a Holder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Note which are defined in the Indenture shall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p>
    <w:p>
      <w:pPr>
        <w:pStyle w:val="TextBody"/>
        <w:bidi w:val="0"/>
        <w:spacing w:before="0" w:after="0"/>
        <w:jc w:val="right"/>
        <w:rPr>
          <w:rFonts w:ascii="Times New Roman" w:hAnsi="Times New Roman"/>
          <w:b/>
          <w:sz w:val="20"/>
        </w:rPr>
      </w:pPr>
      <w:bookmarkStart w:id="4" w:name="d328380dex51.htm"/>
      <w:bookmarkStart w:id="5" w:name="ksd328380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0"/>
        <w:gridCol w:w="122"/>
        <w:gridCol w:w="4550"/>
        <w:gridCol w:w="122"/>
        <w:gridCol w:w="3901"/>
      </w:tblGrid>
      <w:tr>
        <w:trPr/>
        <w:tc>
          <w:tcPr>
            <w:tcW w:w="15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283"/>
              <w:jc w:val="left"/>
              <w:rPr/>
            </w:pPr>
            <w:r>
              <w:rPr/>
              <w:drawing>
                <wp:inline distT="0" distB="0" distL="0" distR="0">
                  <wp:extent cx="77152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771525" cy="9429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ROPES &amp; GRAY LLP</w:t>
            </w:r>
          </w:p>
          <w:p>
            <w:pPr>
              <w:pStyle w:val="TableContents"/>
              <w:bidi w:val="0"/>
              <w:spacing w:before="0" w:after="0"/>
              <w:jc w:val="left"/>
              <w:rPr>
                <w:rFonts w:ascii="Times New Roman" w:hAnsi="Times New Roman"/>
                <w:sz w:val="20"/>
              </w:rPr>
            </w:pPr>
            <w:r>
              <w:rPr>
                <w:rFonts w:ascii="Times New Roman" w:hAnsi="Times New Roman"/>
                <w:sz w:val="20"/>
              </w:rPr>
              <w:t>PRUDENTIAL TOWER</w:t>
            </w:r>
          </w:p>
          <w:p>
            <w:pPr>
              <w:pStyle w:val="TableContents"/>
              <w:bidi w:val="0"/>
              <w:spacing w:before="0" w:after="0"/>
              <w:jc w:val="left"/>
              <w:rPr>
                <w:rFonts w:ascii="Times New Roman" w:hAnsi="Times New Roman"/>
                <w:sz w:val="20"/>
              </w:rPr>
            </w:pPr>
            <w:r>
              <w:rPr>
                <w:rFonts w:ascii="Times New Roman" w:hAnsi="Times New Roman"/>
                <w:sz w:val="20"/>
              </w:rPr>
              <w:t>800 BOYLSTON STREET</w:t>
            </w:r>
          </w:p>
          <w:p>
            <w:pPr>
              <w:pStyle w:val="TableContents"/>
              <w:bidi w:val="0"/>
              <w:spacing w:before="0" w:after="0"/>
              <w:jc w:val="left"/>
              <w:rPr>
                <w:rFonts w:ascii="Times New Roman" w:hAnsi="Times New Roman"/>
                <w:sz w:val="20"/>
              </w:rPr>
            </w:pPr>
            <w:r>
              <w:rPr>
                <w:rFonts w:ascii="Times New Roman" w:hAnsi="Times New Roman"/>
                <w:sz w:val="20"/>
              </w:rPr>
              <w:t>BOSTON, MA 02199-3600</w:t>
            </w:r>
          </w:p>
          <w:p>
            <w:pPr>
              <w:pStyle w:val="TableContents"/>
              <w:bidi w:val="0"/>
              <w:spacing w:before="0" w:after="20"/>
              <w:jc w:val="left"/>
              <w:rPr>
                <w:rFonts w:ascii="Times New Roman" w:hAnsi="Times New Roman"/>
                <w:sz w:val="20"/>
              </w:rPr>
            </w:pPr>
            <w:r>
              <w:rPr>
                <w:rFonts w:ascii="Times New Roman" w:hAnsi="Times New Roman"/>
                <w:sz w:val="20"/>
              </w:rPr>
              <w:t>WWW.ROPESGRAY.COM</w:t>
            </w:r>
          </w:p>
        </w:tc>
        <w:tc>
          <w:tcPr>
            <w:tcW w:w="122"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21, 2026 </w:t>
      </w:r>
    </w:p>
    <w:p>
      <w:pPr>
        <w:pStyle w:val="TextBody"/>
        <w:bidi w:val="0"/>
        <w:spacing w:before="240" w:after="0"/>
        <w:jc w:val="left"/>
        <w:rPr>
          <w:rFonts w:ascii="Times New Roman" w:hAnsi="Times New Roman"/>
          <w:sz w:val="20"/>
        </w:rPr>
      </w:pPr>
      <w:r>
        <w:rPr>
          <w:rFonts w:ascii="Times New Roman" w:hAnsi="Times New Roman"/>
          <w:sz w:val="20"/>
        </w:rPr>
        <w:t xml:space="preserve">Cabot Corporation </w:t>
      </w:r>
    </w:p>
    <w:p>
      <w:pPr>
        <w:pStyle w:val="TextBody"/>
        <w:bidi w:val="0"/>
        <w:spacing w:before="0" w:after="0"/>
        <w:jc w:val="left"/>
        <w:rPr>
          <w:rFonts w:ascii="Times New Roman" w:hAnsi="Times New Roman"/>
          <w:sz w:val="20"/>
        </w:rPr>
      </w:pPr>
      <w:r>
        <w:rPr>
          <w:rFonts w:ascii="Times New Roman" w:hAnsi="Times New Roman"/>
          <w:sz w:val="20"/>
        </w:rPr>
        <w:t xml:space="preserve">Two Seaport Lane, Suite 1400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Re: Registration Statement on Form S-3ASR (Registration No. 333-276078)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Cabot Corporation, a Delaware corporation (the “</w:t>
      </w:r>
      <w:r>
        <w:rPr>
          <w:rFonts w:ascii="Times New Roman" w:hAnsi="Times New Roman"/>
          <w:sz w:val="20"/>
          <w:u w:val="single"/>
        </w:rPr>
        <w:t>Company</w:t>
      </w:r>
      <w:r>
        <w:rPr>
          <w:rFonts w:ascii="Times New Roman" w:hAnsi="Times New Roman"/>
          <w:sz w:val="20"/>
        </w:rPr>
        <w:t>”), in connection with its issuance and sale of $350 million aggregate principal amount of 4.950% senior notes due 2029 (the “</w:t>
      </w:r>
      <w:r>
        <w:rPr>
          <w:rFonts w:ascii="Times New Roman" w:hAnsi="Times New Roman"/>
          <w:sz w:val="20"/>
          <w:u w:val="single"/>
        </w:rPr>
        <w:t>Notes</w:t>
      </w:r>
      <w:r>
        <w:rPr>
          <w:rFonts w:ascii="Times New Roman" w:hAnsi="Times New Roman"/>
          <w:sz w:val="20"/>
        </w:rPr>
        <w:t>”) pursuant to the above-referenced automatically effective shelf registration statement (the “</w:t>
      </w:r>
      <w:r>
        <w:rPr>
          <w:rFonts w:ascii="Times New Roman" w:hAnsi="Times New Roman"/>
          <w:sz w:val="20"/>
          <w:u w:val="single"/>
        </w:rPr>
        <w:t>Registration Statement</w:t>
      </w:r>
      <w:r>
        <w:rPr>
          <w:rFonts w:ascii="Times New Roman" w:hAnsi="Times New Roman"/>
          <w:sz w:val="20"/>
        </w:rPr>
        <w:t>”), filed by the Company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on December 15, 2023. The Notes were issued under an Indenture, dated as of June 22, 2022 (the “</w:t>
      </w:r>
      <w:r>
        <w:rPr>
          <w:rFonts w:ascii="Times New Roman" w:hAnsi="Times New Roman"/>
          <w:sz w:val="20"/>
          <w:u w:val="single"/>
        </w:rPr>
        <w:t>Base Indenture</w:t>
      </w:r>
      <w:r>
        <w:rPr>
          <w:rFonts w:ascii="Times New Roman" w:hAnsi="Times New Roman"/>
          <w:sz w:val="20"/>
        </w:rPr>
        <w:t>”), as supplemented by a Second Supplemental Indenture, dated as of August 21, 2026 (the “</w:t>
      </w:r>
      <w:r>
        <w:rPr>
          <w:rFonts w:ascii="Times New Roman" w:hAnsi="Times New Roman"/>
          <w:sz w:val="20"/>
          <w:u w:val="single"/>
        </w:rPr>
        <w:t>Second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by and between the Company and U.S. Bank Trust Company, National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we have examined the Registration Statement and the Base Indenture, the form of which had been filed with the Commission as an exhibit to the Registration Statement, and the Second Supplemental Indenture. We have also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In rendering the opinion set forth below, we have assumed that the Indenture is a valid and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limited to matters governed by the laws of the State of New York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the qualifications and limitations set forth below, we are of the opinion that, assuming the Notes have been duly authenticated by the Trustee in accordance with the provisions of the Indenture and have been delivered against receipt of payment therefor, the Notes constitute valid and binding obligations of the Company, enforceable against the Company in accordance with their terms.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18"/>
        <w:gridCol w:w="123"/>
        <w:gridCol w:w="3125"/>
        <w:gridCol w:w="123"/>
        <w:gridCol w:w="3216"/>
      </w:tblGrid>
      <w:tr>
        <w:trPr/>
        <w:tc>
          <w:tcPr>
            <w:tcW w:w="36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3618" w:type="dxa"/>
            <w:tcBorders/>
          </w:tcPr>
          <w:p>
            <w:pPr>
              <w:pStyle w:val="TableContents"/>
              <w:bidi w:val="0"/>
              <w:spacing w:before="0" w:after="283"/>
              <w:jc w:val="left"/>
              <w:rPr/>
            </w:pPr>
            <w:r>
              <w:rPr/>
              <w:t>Cabot Corporation</w:t>
            </w:r>
          </w:p>
        </w:tc>
        <w:tc>
          <w:tcPr>
            <w:tcW w:w="123"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center"/>
              <w:rPr/>
            </w:pPr>
            <w:r>
              <w:rPr/>
              <w:t>- 2 -</w:t>
            </w:r>
          </w:p>
        </w:tc>
        <w:tc>
          <w:tcPr>
            <w:tcW w:w="123"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right"/>
              <w:rPr/>
            </w:pPr>
            <w:r>
              <w:rPr/>
              <w:t>August 21,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opinions set forth above are subject to (i) bankruptcy, insolvency, reorganization, moratorium, fraudulent conveyance and similar laws affecting the rights and remedies of creditors generally and (ii) general principles of equity. Our opinions are also subject to the qualification that the enforceability of provisions in the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the Notes, in each case to the extent determined to be unreasonable or to constitute unmatured interest.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of this opinion letter as an exhibit to the Registration Statement and to the use of our name (i) under the caption “Validity of Debt Securities” in the Registration Statement and (ii) under the caption “Validity of Notes” in the prospectus supplement relating to the Notes. By giving the foregoing consent, we do not admit that we come within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Ropes &amp; Gray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Ropes &amp; Gray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40/000119312522178762/d303024dex4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10897</Words>
  <Characters>54998</Characters>
  <CharactersWithSpaces>65907</CharactersWithSpaces>
  <Paragraphs>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