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bt-20260803.htm"/>
      <w:bookmarkStart w:id="1" w:name="kscbt20260803"/>
      <w:bookmarkEnd w:id="0"/>
      <w:bookmarkEnd w:id="1"/>
      <w:r>
        <w:rPr/>
        <w:t> </w:t>
      </w:r>
    </w:p>
    <w:p>
      <w:pPr>
        <w:pStyle w:val="TextBody"/>
        <w:bidi w:val="0"/>
        <w:jc w:val="left"/>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August 3, 2026</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Cabot Corporation</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6648" w:type="dxa"/>
        <w:jc w:val="left"/>
        <w:tblInd w:w="0" w:type="dxa"/>
        <w:tblLayout w:type="fixed"/>
        <w:tblCellMar>
          <w:top w:w="28" w:type="dxa"/>
          <w:left w:w="28" w:type="dxa"/>
          <w:bottom w:w="28" w:type="dxa"/>
          <w:right w:w="28" w:type="dxa"/>
        </w:tblCellMar>
      </w:tblPr>
      <w:tblGrid>
        <w:gridCol w:w="3466"/>
        <w:gridCol w:w="1846"/>
        <w:gridCol w:w="1336"/>
      </w:tblGrid>
      <w:tr>
        <w:trPr/>
        <w:tc>
          <w:tcPr>
            <w:tcW w:w="346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1-5667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04-2271897</w:t>
            </w:r>
          </w:p>
        </w:tc>
      </w:tr>
      <w:tr>
        <w:trPr/>
        <w:tc>
          <w:tcPr>
            <w:tcW w:w="34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 Seaport Lane, Suite 1400, Boston, MA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02210-2019</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(617)</w:t>
      </w:r>
      <w:r>
        <w:rPr>
          <w:rFonts w:ascii="Times New Roman" w:hAnsi="Times New Roman"/>
          <w:color w:val="000000"/>
          <w:sz w:val="20"/>
        </w:rPr>
        <w:t xml:space="preserve"> </w:t>
      </w:r>
      <w:r>
        <w:rPr>
          <w:rFonts w:ascii="Times New Roman" w:hAnsi="Times New Roman"/>
          <w:b/>
          <w:color w:val="000000"/>
          <w:sz w:val="20"/>
        </w:rPr>
        <w:t>345-0100</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p>
    <w:tbl>
      <w:tblPr>
        <w:tblW w:w="9583" w:type="dxa"/>
        <w:jc w:val="left"/>
        <w:tblInd w:w="0" w:type="dxa"/>
        <w:tblLayout w:type="fixed"/>
        <w:tblCellMar>
          <w:top w:w="28" w:type="dxa"/>
          <w:left w:w="28" w:type="dxa"/>
          <w:bottom w:w="28" w:type="dxa"/>
          <w:right w:w="28" w:type="dxa"/>
        </w:tblCellMar>
      </w:tblPr>
      <w:tblGrid>
        <w:gridCol w:w="161"/>
        <w:gridCol w:w="316"/>
        <w:gridCol w:w="9106"/>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 pursuant to Rule 425 under the Securities Act (17 CFR 230.425)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14d-2(b) under the Exchange Act (17 CFR 240.14d-2(b))</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13e-4(c) under the Exchange Act (17 CFR 240.13e-4(c))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(17 CFR §230.405) or Rule 12b-2 of the Securities Exchange Act of 1934 (17 CFR §240.12b-2).</w:t>
            </w:r>
          </w:p>
          <w:p>
            <w:pPr>
              <w:pStyle w:val="TableContents"/>
              <w:bidi w:val="0"/>
              <w:jc w:val="left"/>
              <w:rPr>
                <w:rFonts w:ascii="Times New Roman" w:hAnsi="Times New Roman"/>
                <w:color w:val="000000"/>
                <w:sz w:val="20"/>
              </w:rPr>
            </w:pPr>
            <w:r>
              <w:rPr>
                <w:rFonts w:ascii="Times New Roman" w:hAnsi="Times New Roman"/>
                <w:color w:val="000000"/>
                <w:sz w:val="20"/>
              </w:rPr>
              <w:t>Emerging growth company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963" w:type="dxa"/>
        <w:jc w:val="left"/>
        <w:tblInd w:w="0" w:type="dxa"/>
        <w:tblLayout w:type="fixed"/>
        <w:tblCellMar>
          <w:top w:w="28" w:type="dxa"/>
          <w:left w:w="28" w:type="dxa"/>
          <w:bottom w:w="28" w:type="dxa"/>
          <w:right w:w="28" w:type="dxa"/>
        </w:tblCellMar>
      </w:tblPr>
      <w:tblGrid>
        <w:gridCol w:w="3781"/>
        <w:gridCol w:w="1861"/>
        <w:gridCol w:w="4321"/>
      </w:tblGrid>
      <w:tr>
        <w:trPr/>
        <w:tc>
          <w:tcPr>
            <w:tcW w:w="378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37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44"/>
              <w:jc w:val="center"/>
              <w:rPr>
                <w:rFonts w:ascii="Times New Roman" w:hAnsi="Times New Roman"/>
                <w:color w:val="000000"/>
                <w:sz w:val="22"/>
              </w:rPr>
            </w:pPr>
            <w:r>
              <w:rPr>
                <w:rFonts w:ascii="Times New Roman" w:hAnsi="Times New Roman"/>
                <w:color w:val="000000"/>
                <w:sz w:val="22"/>
              </w:rPr>
              <w:t>Title of each class</w:t>
            </w:r>
          </w:p>
        </w:tc>
        <w:tc>
          <w:tcPr>
            <w:tcW w:w="18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2"/>
              </w:rPr>
            </w:pPr>
            <w:r>
              <w:rPr>
                <w:rFonts w:ascii="Times New Roman" w:hAnsi="Times New Roman"/>
                <w:color w:val="000000"/>
                <w:sz w:val="22"/>
              </w:rPr>
              <w:t>Trading Symbol(s)</w:t>
            </w:r>
          </w:p>
        </w:tc>
        <w:tc>
          <w:tcPr>
            <w:tcW w:w="43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2"/>
              </w:rPr>
            </w:pPr>
            <w:r>
              <w:rPr>
                <w:rFonts w:ascii="Times New Roman" w:hAnsi="Times New Roman"/>
                <w:color w:val="000000"/>
                <w:sz w:val="22"/>
              </w:rPr>
              <w:t>Name of each exchange on which registered</w:t>
            </w:r>
          </w:p>
        </w:tc>
      </w:tr>
      <w:tr>
        <w:trPr/>
        <w:tc>
          <w:tcPr>
            <w:tcW w:w="37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44"/>
              <w:jc w:val="center"/>
              <w:rPr>
                <w:rFonts w:ascii="Times New Roman" w:hAnsi="Times New Roman"/>
                <w:color w:val="000000"/>
                <w:sz w:val="22"/>
              </w:rPr>
            </w:pPr>
            <w:r>
              <w:rPr>
                <w:rFonts w:ascii="Times New Roman" w:hAnsi="Times New Roman"/>
                <w:color w:val="000000"/>
                <w:sz w:val="22"/>
              </w:rPr>
              <w:t>Common Stock, $1 par value per share</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22"/>
              </w:rPr>
            </w:pPr>
            <w:r>
              <w:rPr>
                <w:rFonts w:ascii="Times New Roman" w:hAnsi="Times New Roman"/>
                <w:color w:val="000000"/>
                <w:sz w:val="22"/>
              </w:rPr>
              <w:t>CBT</w:t>
            </w:r>
          </w:p>
        </w:tc>
        <w:tc>
          <w:tcPr>
            <w:tcW w:w="4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22"/>
              </w:rPr>
            </w:pPr>
            <w:r>
              <w:rPr>
                <w:rFonts w:ascii="Times New Roman" w:hAnsi="Times New Roman"/>
                <w:color w:val="000000"/>
                <w:sz w:val="22"/>
              </w:rPr>
              <w:t>New York Stock Exchange</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Item 2.02 Results of Operations and Financial Condition.</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On August 3, 2026, Cabot Corporation issued a press release announcing operating results for its fiscal quarter ended June 30, 2026. A copy of the press release is furnished herewith as Exhibit 99.1.</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Item 9.01 Financial Statements and Exhibits.</w:t>
      </w:r>
    </w:p>
    <w:p>
      <w:pPr>
        <w:pStyle w:val="TextBody"/>
        <w:bidi w:val="0"/>
        <w:jc w:val="both"/>
        <w:rPr/>
      </w:pPr>
      <w:r>
        <w:rPr/>
        <w:t> </w:t>
      </w:r>
    </w:p>
    <w:p>
      <w:pPr>
        <w:pStyle w:val="TextBody"/>
        <w:bidi w:val="0"/>
        <w:jc w:val="both"/>
        <w:rPr/>
      </w:pPr>
      <w:r>
        <w:rPr/>
        <w:t> </w:t>
      </w:r>
    </w:p>
    <w:tbl>
      <w:tblPr>
        <w:tblW w:w="9418" w:type="dxa"/>
        <w:jc w:val="left"/>
        <w:tblInd w:w="0" w:type="dxa"/>
        <w:tblLayout w:type="fixed"/>
        <w:tblCellMar>
          <w:top w:w="28" w:type="dxa"/>
          <w:left w:w="28" w:type="dxa"/>
          <w:bottom w:w="28" w:type="dxa"/>
          <w:right w:w="28" w:type="dxa"/>
        </w:tblCellMar>
      </w:tblPr>
      <w:tblGrid>
        <w:gridCol w:w="1486"/>
        <w:gridCol w:w="146"/>
        <w:gridCol w:w="7786"/>
      </w:tblGrid>
      <w:tr>
        <w:trPr/>
        <w:tc>
          <w:tcPr>
            <w:tcW w:w="1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786" w:type="dxa"/>
            <w:tcBorders/>
            <w:shd w:fill="FFFFFF" w:val="clear"/>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7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Description</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tcBorders/>
            <w:tcMar>
              <w:top w:w="0" w:type="dxa"/>
              <w:left w:w="0" w:type="dxa"/>
              <w:bottom w:w="0" w:type="dxa"/>
              <w:right w:w="0" w:type="dxa"/>
            </w:tcMar>
            <w:vAlign w:val="center"/>
          </w:tcPr>
          <w:p>
            <w:pPr>
              <w:pStyle w:val="TableContents"/>
              <w:bidi w:val="0"/>
              <w:spacing w:before="0" w:after="283"/>
              <w:jc w:val="left"/>
              <w:rPr/>
            </w:pPr>
            <w:hyperlink w:anchor="cbt-ex99_1.htm">
              <w:r>
                <w:rPr>
                  <w:rStyle w:val="InternetLink"/>
                  <w:rFonts w:ascii="Times New Roman" w:hAnsi="Times New Roman"/>
                  <w:color w:val="0000FF"/>
                  <w:sz w:val="20"/>
                  <w:u w:val="single"/>
                </w:rPr>
                <w:t>Press release issued by Cabot Corporation on August 3, 2026</w:t>
              </w:r>
            </w:hyperlink>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Cover Page Interactive Data File (embedded within the Inline XBRL document)</w:t>
            </w:r>
          </w:p>
        </w:tc>
      </w:tr>
    </w:tbl>
    <w:p>
      <w:pPr>
        <w:pStyle w:val="TextBody"/>
        <w:bidi w:val="0"/>
        <w:spacing w:before="40" w:after="283"/>
        <w:jc w:val="left"/>
        <w:rPr>
          <w:rFonts w:ascii="sans-serif" w:hAnsi="sans-serif"/>
          <w:color w:val="000000"/>
          <w:sz w:val="20"/>
        </w:rPr>
      </w:pPr>
      <w:r>
        <w:rPr>
          <w:rFonts w:ascii="sans-serif" w:hAnsi="sans-serif"/>
          <w:color w:val="000000"/>
          <w:sz w:val="20"/>
        </w:rPr>
        <w:t>* Filed herewith.</w:t>
      </w:r>
    </w:p>
    <w:p>
      <w:pPr>
        <w:pStyle w:val="TextBody"/>
        <w:bidi w:val="0"/>
        <w:spacing w:before="40" w:after="283"/>
        <w:jc w:val="left"/>
        <w:rPr>
          <w:rFonts w:ascii="sans-serif" w:hAnsi="sans-serif"/>
          <w:color w:val="000000"/>
          <w:sz w:val="20"/>
        </w:rPr>
      </w:pPr>
      <w:r>
        <w:rPr>
          <w:rFonts w:ascii="sans-serif" w:hAnsi="sans-serif"/>
          <w:color w:val="000000"/>
          <w:sz w:val="20"/>
        </w:rPr>
        <w:t>** Furnished herewith.</w:t>
      </w:r>
    </w:p>
    <w:p>
      <w:pPr>
        <w:pStyle w:val="TextBody"/>
        <w:bidi w:val="0"/>
        <w:spacing w:before="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SIGNATURES</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CABOT CORPORATION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Lisa M. Dumont</w:t>
      </w:r>
    </w:p>
    <w:p>
      <w:pPr>
        <w:pStyle w:val="TextBody"/>
        <w:bidi w:val="0"/>
        <w:jc w:val="left"/>
        <w:rPr>
          <w:rFonts w:ascii="Times New Roman" w:hAnsi="Times New Roman"/>
          <w:color w:val="000000"/>
          <w:sz w:val="24"/>
        </w:rPr>
      </w:pPr>
      <w:r>
        <w:rPr>
          <w:rFonts w:ascii="Times New Roman" w:hAnsi="Times New Roman"/>
          <w:color w:val="000000"/>
          <w:sz w:val="24"/>
        </w:rPr>
        <w:t>Name: Lisa M. Dumont</w:t>
      </w:r>
    </w:p>
    <w:p>
      <w:pPr>
        <w:pStyle w:val="TextBody"/>
        <w:bidi w:val="0"/>
        <w:jc w:val="left"/>
        <w:rPr>
          <w:rFonts w:ascii="Times New Roman" w:hAnsi="Times New Roman"/>
          <w:color w:val="000000"/>
          <w:sz w:val="24"/>
        </w:rPr>
      </w:pPr>
      <w:r>
        <w:rPr>
          <w:rFonts w:ascii="Times New Roman" w:hAnsi="Times New Roman"/>
          <w:color w:val="000000"/>
          <w:sz w:val="24"/>
        </w:rPr>
        <w:t>Title: Vice President, Controller and</w:t>
      </w:r>
    </w:p>
    <w:p>
      <w:pPr>
        <w:pStyle w:val="TextBody"/>
        <w:bidi w:val="0"/>
        <w:jc w:val="left"/>
        <w:rPr>
          <w:rFonts w:ascii="Times New Roman" w:hAnsi="Times New Roman"/>
          <w:color w:val="000000"/>
          <w:sz w:val="24"/>
        </w:rPr>
      </w:pPr>
      <w:r>
        <w:rPr>
          <w:rFonts w:ascii="Times New Roman" w:hAnsi="Times New Roman"/>
          <w:color w:val="000000"/>
          <w:sz w:val="24"/>
        </w:rPr>
        <w:t>Chief Accounting Officer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 August 3, 2026</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2" w:name="cbt-ex99_1.htm"/>
      <w:bookmarkStart w:id="3" w:name="kscbtex99_1"/>
      <w:bookmarkEnd w:id="2"/>
      <w:bookmarkEnd w:id="3"/>
      <w:r>
        <w:rPr>
          <w:rFonts w:ascii="Times New Roman" w:hAnsi="Times New Roman"/>
          <w:color w:val="000000"/>
          <w:sz w:val="20"/>
        </w:rPr>
        <w:t>Exhibit 99.1</w:t>
      </w:r>
      <w:r>
        <w:br w:type="page"/>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Investor Contact: Robert Rist</w:t>
      </w:r>
    </w:p>
    <w:p>
      <w:pPr>
        <w:pStyle w:val="TextBody"/>
        <w:bidi w:val="0"/>
        <w:jc w:val="left"/>
        <w:rPr>
          <w:rFonts w:ascii="sans-serif" w:hAnsi="sans-serif"/>
          <w:i/>
          <w:color w:val="000000"/>
          <w:sz w:val="22"/>
        </w:rPr>
      </w:pPr>
      <w:r>
        <w:rPr>
          <w:rFonts w:ascii="sans-serif" w:hAnsi="sans-serif"/>
          <w:i/>
          <w:color w:val="000000"/>
          <w:sz w:val="22"/>
        </w:rPr>
        <w:t>(617) 342-6374</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CABOT CORPORATION REPORTS THIRD QUARTER FISCAL YEAR 2026 RESULTS</w:t>
      </w:r>
    </w:p>
    <w:p>
      <w:pPr>
        <w:pStyle w:val="TextBody"/>
        <w:bidi w:val="0"/>
        <w:jc w:val="center"/>
        <w:rPr>
          <w:rFonts w:ascii="sans-serif" w:hAnsi="sans-serif"/>
          <w:i/>
          <w:color w:val="000000"/>
          <w:sz w:val="22"/>
        </w:rPr>
      </w:pPr>
      <w:r>
        <w:rPr>
          <w:rFonts w:ascii="sans-serif" w:hAnsi="sans-serif"/>
          <w:i/>
          <w:color w:val="000000"/>
          <w:sz w:val="22"/>
        </w:rPr>
        <w:t>Third Quarter 2026 Diluted earnings per share (“EPS”) of $0.12 and Adjusted EPS of $1.67</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BOSTON (August 3, 2026)</w:t>
      </w:r>
      <w:r>
        <w:rPr>
          <w:rFonts w:ascii="sans-serif" w:hAnsi="sans-serif"/>
          <w:color w:val="000000"/>
          <w:sz w:val="22"/>
        </w:rPr>
        <w:t xml:space="preserve">-- </w:t>
      </w:r>
      <w:r>
        <w:rPr>
          <w:rFonts w:ascii="sans-serif" w:hAnsi="sans-serif"/>
          <w:sz w:val="22"/>
        </w:rPr>
        <w:t>Cabot Corporation</w:t>
      </w:r>
      <w:r>
        <w:rPr>
          <w:rFonts w:ascii="Times New Roman" w:hAnsi="Times New Roman"/>
          <w:color w:val="000000"/>
          <w:sz w:val="20"/>
        </w:rPr>
        <w:t xml:space="preserve"> </w:t>
      </w:r>
      <w:r>
        <w:rPr>
          <w:rFonts w:ascii="sans-serif" w:hAnsi="sans-serif"/>
          <w:color w:val="000000"/>
          <w:sz w:val="22"/>
        </w:rPr>
        <w:t>(NYSE: CBT) today announced results for its third quarter fiscal year 2026.</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sans-serif" w:hAnsi="sans-serif"/>
          <w:b/>
          <w:color w:val="000000"/>
          <w:sz w:val="22"/>
          <w:u w:val="single"/>
        </w:rPr>
      </w:pPr>
      <w:r>
        <w:rPr>
          <w:rFonts w:ascii="sans-serif" w:hAnsi="sans-serif"/>
          <w:b/>
          <w:color w:val="000000"/>
          <w:sz w:val="22"/>
          <w:u w:val="single"/>
        </w:rPr>
        <w:t>Third Quarter Highlights</w:t>
      </w:r>
    </w:p>
    <w:p>
      <w:pPr>
        <w:pStyle w:val="TextBody"/>
        <w:bidi w:val="0"/>
        <w:spacing w:before="0" w:after="240"/>
        <w:jc w:val="left"/>
        <w:rPr>
          <w:color w:val="000000"/>
        </w:rPr>
      </w:pPr>
      <w:r>
        <w:rPr>
          <w:color w:val="000000"/>
        </w:rPr>
        <w:t></w:t>
      </w:r>
    </w:p>
    <w:p>
      <w:pPr>
        <w:pStyle w:val="TextBody"/>
        <w:bidi w:val="0"/>
        <w:spacing w:before="0" w:after="240"/>
        <w:jc w:val="left"/>
        <w:rPr>
          <w:rFonts w:ascii="sans-serif" w:hAnsi="sans-serif"/>
          <w:b/>
          <w:color w:val="000000"/>
          <w:sz w:val="22"/>
        </w:rPr>
      </w:pPr>
      <w:r>
        <w:rPr>
          <w:rFonts w:ascii="sans-serif" w:hAnsi="sans-serif"/>
          <w:b/>
          <w:color w:val="000000"/>
          <w:sz w:val="22"/>
        </w:rPr>
        <w:t>Third Quarter Diluted EPS of $0.12 and Adjusted EPS of $1.67</w:t>
      </w:r>
    </w:p>
    <w:p>
      <w:pPr>
        <w:pStyle w:val="TextBody"/>
        <w:bidi w:val="0"/>
        <w:spacing w:before="0" w:after="0"/>
        <w:jc w:val="left"/>
        <w:rPr>
          <w:color w:val="000000"/>
        </w:rPr>
      </w:pPr>
      <w:r>
        <w:rPr>
          <w:color w:val="000000"/>
        </w:rPr>
        <w:t></w:t>
      </w:r>
    </w:p>
    <w:p>
      <w:pPr>
        <w:pStyle w:val="TextBody"/>
        <w:bidi w:val="0"/>
        <w:jc w:val="left"/>
        <w:rPr>
          <w:rFonts w:ascii="sans-serif" w:hAnsi="sans-serif"/>
          <w:b/>
          <w:color w:val="000000"/>
          <w:sz w:val="22"/>
        </w:rPr>
      </w:pPr>
      <w:r>
        <w:rPr>
          <w:rFonts w:ascii="sans-serif" w:hAnsi="sans-serif"/>
          <w:b/>
          <w:color w:val="000000"/>
          <w:sz w:val="22"/>
        </w:rPr>
        <w:t>Reinforcement Materials segment EBIT of $97 million and Performance Chemicals segment EBIT of $68 million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b/>
          <w:color w:val="000000"/>
          <w:sz w:val="22"/>
        </w:rPr>
      </w:pPr>
      <w:r>
        <w:rPr>
          <w:rFonts w:ascii="sans-serif" w:hAnsi="sans-serif"/>
          <w:b/>
          <w:color w:val="000000"/>
          <w:sz w:val="22"/>
        </w:rPr>
        <w:t>Battery Materials product line expanding global conductive additive capacity to support growing demand; reaffirming expectation of approximately $40 million of EBITDA for the full fiscal year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b/>
          <w:color w:val="000000"/>
          <w:sz w:val="22"/>
        </w:rPr>
      </w:pPr>
      <w:r>
        <w:rPr>
          <w:rFonts w:ascii="sans-serif" w:hAnsi="sans-serif"/>
          <w:b/>
          <w:color w:val="000000"/>
          <w:sz w:val="22"/>
        </w:rPr>
        <w:t>Awarded Platinum rating from EcoVadis for exceptional leadership in sustainability performance for the sixth consecutive year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b/>
          <w:color w:val="000000"/>
          <w:sz w:val="22"/>
        </w:rPr>
      </w:pPr>
      <w:r>
        <w:rPr>
          <w:rFonts w:ascii="sans-serif" w:hAnsi="sans-serif"/>
          <w:b/>
          <w:color w:val="000000"/>
          <w:sz w:val="22"/>
        </w:rPr>
        <w:t>Announced a planned leadership transition, with Erica McLaughlin elected to succeed Sean Keohane as President and CEO and a member of Cabot’s Board of Directors, all effective October 1, 2026</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79"/>
        <w:gridCol w:w="1210"/>
        <w:gridCol w:w="1210"/>
        <w:gridCol w:w="1075"/>
        <w:gridCol w:w="1131"/>
      </w:tblGrid>
      <w:tr>
        <w:trPr/>
        <w:tc>
          <w:tcPr>
            <w:tcW w:w="557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5579" w:type="dxa"/>
            <w:tcBorders>
              <w:top w:val="single" w:sz="4" w:space="0" w:color="000000"/>
              <w:left w:val="single" w:sz="4" w:space="0" w:color="000000"/>
            </w:tcBorders>
            <w:tcMar>
              <w:left w:w="108"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 millions, except per share amounts)</w:t>
            </w:r>
          </w:p>
        </w:tc>
        <w:tc>
          <w:tcPr>
            <w:tcW w:w="2420" w:type="dxa"/>
            <w:gridSpan w:val="2"/>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color w:val="000000"/>
              </w:rPr>
            </w:pPr>
            <w:r>
              <w:rPr>
                <w:color w:val="000000"/>
              </w:rPr>
              <w:t>   </w:t>
            </w:r>
            <w:r>
              <w:rPr>
                <w:rFonts w:ascii="sans-serif" w:hAnsi="sans-serif"/>
                <w:b/>
                <w:color w:val="000000"/>
                <w:sz w:val="20"/>
              </w:rPr>
              <w:t>Three Months Ended</w:t>
            </w:r>
          </w:p>
        </w:tc>
        <w:tc>
          <w:tcPr>
            <w:tcW w:w="2206" w:type="dxa"/>
            <w:gridSpan w:val="2"/>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r>
      <w:tr>
        <w:trPr/>
        <w:tc>
          <w:tcPr>
            <w:tcW w:w="5579"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1210"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u w:val="single"/>
              </w:rPr>
            </w:pPr>
            <w:r>
              <w:rPr>
                <w:rFonts w:ascii="sans-serif" w:hAnsi="sans-serif"/>
                <w:b/>
                <w:color w:val="000000"/>
                <w:sz w:val="20"/>
                <w:u w:val="single"/>
              </w:rPr>
              <w:t>6/30/26</w:t>
            </w:r>
          </w:p>
        </w:tc>
        <w:tc>
          <w:tcPr>
            <w:tcW w:w="1210" w:type="dxa"/>
            <w:tcBorders>
              <w:right w:val="single" w:sz="4" w:space="0" w:color="000000"/>
            </w:tcBorders>
            <w:tcMar>
              <w:top w:w="0" w:type="dxa"/>
              <w:left w:w="0" w:type="dxa"/>
              <w:bottom w:w="0" w:type="dxa"/>
              <w:right w:w="108" w:type="dxa"/>
            </w:tcMar>
            <w:vAlign w:val="center"/>
          </w:tcPr>
          <w:p>
            <w:pPr>
              <w:pStyle w:val="TableContents"/>
              <w:bidi w:val="0"/>
              <w:spacing w:before="0" w:after="283"/>
              <w:jc w:val="center"/>
              <w:rPr>
                <w:rFonts w:ascii="sans-serif" w:hAnsi="sans-serif"/>
                <w:b/>
                <w:color w:val="000000"/>
                <w:sz w:val="20"/>
                <w:u w:val="single"/>
              </w:rPr>
            </w:pPr>
            <w:r>
              <w:rPr>
                <w:rFonts w:ascii="sans-serif" w:hAnsi="sans-serif"/>
                <w:b/>
                <w:color w:val="000000"/>
                <w:sz w:val="20"/>
                <w:u w:val="single"/>
              </w:rPr>
              <w:t>6/30/25</w:t>
            </w:r>
          </w:p>
        </w:tc>
        <w:tc>
          <w:tcPr>
            <w:tcW w:w="1075"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u w:val="single"/>
              </w:rPr>
            </w:pPr>
            <w:r>
              <w:rPr>
                <w:rFonts w:ascii="sans-serif" w:hAnsi="sans-serif"/>
                <w:b/>
                <w:color w:val="000000"/>
                <w:sz w:val="20"/>
                <w:u w:val="single"/>
              </w:rPr>
              <w:t>6/30/26</w:t>
            </w:r>
          </w:p>
        </w:tc>
        <w:tc>
          <w:tcPr>
            <w:tcW w:w="1131" w:type="dxa"/>
            <w:tcBorders>
              <w:right w:val="single" w:sz="4" w:space="0" w:color="000000"/>
            </w:tcBorders>
            <w:tcMar>
              <w:top w:w="0" w:type="dxa"/>
              <w:left w:w="0" w:type="dxa"/>
              <w:bottom w:w="0" w:type="dxa"/>
              <w:right w:w="108" w:type="dxa"/>
            </w:tcMar>
            <w:vAlign w:val="center"/>
          </w:tcPr>
          <w:p>
            <w:pPr>
              <w:pStyle w:val="TableContents"/>
              <w:bidi w:val="0"/>
              <w:spacing w:before="0" w:after="283"/>
              <w:jc w:val="center"/>
              <w:rPr>
                <w:rFonts w:ascii="sans-serif" w:hAnsi="sans-serif"/>
                <w:b/>
                <w:color w:val="000000"/>
                <w:sz w:val="20"/>
                <w:u w:val="single"/>
              </w:rPr>
            </w:pPr>
            <w:r>
              <w:rPr>
                <w:rFonts w:ascii="sans-serif" w:hAnsi="sans-serif"/>
                <w:b/>
                <w:color w:val="000000"/>
                <w:sz w:val="20"/>
                <w:u w:val="single"/>
              </w:rPr>
              <w:t>6/30/25</w:t>
            </w:r>
          </w:p>
        </w:tc>
      </w:tr>
      <w:tr>
        <w:trPr/>
        <w:tc>
          <w:tcPr>
            <w:tcW w:w="5579"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12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0" w:type="dxa"/>
            <w:tcBorders>
              <w:right w:val="single" w:sz="4" w:space="0" w:color="000000"/>
            </w:tcBorders>
            <w:tcMar>
              <w:top w:w="0" w:type="dxa"/>
              <w:left w:w="0" w:type="dxa"/>
              <w:bottom w:w="0" w:type="dxa"/>
              <w:right w:w="108" w:type="dxa"/>
            </w:tcMar>
            <w:vAlign w:val="center"/>
          </w:tcPr>
          <w:p>
            <w:pPr>
              <w:pStyle w:val="TableContents"/>
              <w:bidi w:val="0"/>
              <w:spacing w:before="0" w:after="283"/>
              <w:jc w:val="center"/>
              <w:rPr/>
            </w:pPr>
            <w:r>
              <w:rPr/>
              <w:t> </w:t>
            </w:r>
          </w:p>
        </w:tc>
        <w:tc>
          <w:tcPr>
            <w:tcW w:w="10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1" w:type="dxa"/>
            <w:tcBorders>
              <w:right w:val="single" w:sz="4"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5579"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sales and other operating revenues</w:t>
            </w:r>
          </w:p>
        </w:tc>
        <w:tc>
          <w:tcPr>
            <w:tcW w:w="1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$ 982</w:t>
            </w:r>
            <w:r>
              <w:rPr>
                <w:rFonts w:ascii="Times New Roman" w:hAnsi="Times New Roman"/>
                <w:color w:val="000000"/>
                <w:sz w:val="20"/>
              </w:rPr>
              <w:t xml:space="preserve"> </w:t>
            </w:r>
          </w:p>
        </w:tc>
        <w:tc>
          <w:tcPr>
            <w:tcW w:w="1210"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$ 923</w:t>
            </w:r>
            <w:r>
              <w:rPr>
                <w:rFonts w:ascii="Times New Roman" w:hAnsi="Times New Roman"/>
                <w:color w:val="000000"/>
                <w:sz w:val="20"/>
              </w:rPr>
              <w:t xml:space="preserve"> </w:t>
            </w:r>
          </w:p>
        </w:tc>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$ 2,735</w:t>
            </w:r>
          </w:p>
        </w:tc>
        <w:tc>
          <w:tcPr>
            <w:tcW w:w="113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$ 2,814</w:t>
            </w:r>
          </w:p>
        </w:tc>
      </w:tr>
      <w:tr>
        <w:trPr/>
        <w:tc>
          <w:tcPr>
            <w:tcW w:w="5579"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 attributable to Cabot Corporation</w:t>
            </w:r>
          </w:p>
        </w:tc>
        <w:tc>
          <w:tcPr>
            <w:tcW w:w="1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$ 6</w:t>
            </w:r>
            <w:r>
              <w:rPr>
                <w:rFonts w:ascii="Times New Roman" w:hAnsi="Times New Roman"/>
                <w:color w:val="000000"/>
                <w:sz w:val="20"/>
              </w:rPr>
              <w:t xml:space="preserve"> </w:t>
            </w:r>
          </w:p>
        </w:tc>
        <w:tc>
          <w:tcPr>
            <w:tcW w:w="1210"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$ 101</w:t>
            </w:r>
            <w:r>
              <w:rPr>
                <w:rFonts w:ascii="Times New Roman" w:hAnsi="Times New Roman"/>
                <w:color w:val="000000"/>
                <w:sz w:val="20"/>
              </w:rPr>
              <w:t xml:space="preserve"> </w:t>
            </w:r>
          </w:p>
        </w:tc>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$ 147</w:t>
            </w:r>
          </w:p>
        </w:tc>
        <w:tc>
          <w:tcPr>
            <w:tcW w:w="113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$ 288</w:t>
            </w:r>
          </w:p>
        </w:tc>
      </w:tr>
      <w:tr>
        <w:trPr/>
        <w:tc>
          <w:tcPr>
            <w:tcW w:w="5579"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1210" w:type="dxa"/>
            <w:tcBorders/>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pPr>
            <w:r>
              <w:rPr/>
              <w:t> </w:t>
            </w:r>
          </w:p>
        </w:tc>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right w:val="single" w:sz="4" w:space="0" w:color="000000"/>
            </w:tcBorders>
            <w:tcMar>
              <w:top w:w="0" w:type="dxa"/>
              <w:left w:w="0" w:type="dxa"/>
              <w:bottom w:w="0" w:type="dxa"/>
              <w:right w:w="108" w:type="dxa"/>
            </w:tcMar>
            <w:vAlign w:val="center"/>
          </w:tcPr>
          <w:p>
            <w:pPr>
              <w:pStyle w:val="TableContents"/>
              <w:bidi w:val="0"/>
              <w:spacing w:before="0" w:after="283"/>
              <w:ind w:left="0" w:right="0" w:firstLine="360"/>
              <w:jc w:val="left"/>
              <w:rPr/>
            </w:pPr>
            <w:r>
              <w:rPr/>
              <w:t> </w:t>
            </w:r>
          </w:p>
        </w:tc>
      </w:tr>
      <w:tr>
        <w:trPr/>
        <w:tc>
          <w:tcPr>
            <w:tcW w:w="5579" w:type="dxa"/>
            <w:tcBorders>
              <w:left w:val="single" w:sz="4" w:space="0" w:color="000000"/>
            </w:tcBorders>
            <w:tcMar>
              <w:top w:w="0" w:type="dxa"/>
              <w:left w:w="108" w:type="dxa"/>
              <w:bottom w:w="0" w:type="dxa"/>
              <w:right w:w="0" w:type="dxa"/>
            </w:tcMar>
            <w:vAlign w:val="center"/>
          </w:tcPr>
          <w:p>
            <w:pPr>
              <w:pStyle w:val="TableContents"/>
              <w:bidi w:val="0"/>
              <w:spacing w:before="0" w:after="283"/>
              <w:ind w:left="0" w:right="0" w:firstLine="360"/>
              <w:jc w:val="left"/>
              <w:rPr/>
            </w:pPr>
            <w:r>
              <w:rPr/>
              <w:t> </w:t>
            </w:r>
          </w:p>
        </w:tc>
        <w:tc>
          <w:tcPr>
            <w:tcW w:w="1210" w:type="dxa"/>
            <w:tcBorders/>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pPr>
            <w:r>
              <w:rPr/>
              <w:t> </w:t>
            </w:r>
          </w:p>
        </w:tc>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5579"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earnings (loss) per share attributable to Cabot Corporation</w:t>
            </w:r>
          </w:p>
        </w:tc>
        <w:tc>
          <w:tcPr>
            <w:tcW w:w="121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$ 0.12</w:t>
            </w:r>
          </w:p>
        </w:tc>
        <w:tc>
          <w:tcPr>
            <w:tcW w:w="1210"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$ 1.86</w:t>
            </w:r>
          </w:p>
        </w:tc>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$ 2.77</w:t>
            </w:r>
          </w:p>
        </w:tc>
        <w:tc>
          <w:tcPr>
            <w:tcW w:w="113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$ 5.22</w:t>
            </w:r>
          </w:p>
        </w:tc>
      </w:tr>
      <w:tr>
        <w:trPr/>
        <w:tc>
          <w:tcPr>
            <w:tcW w:w="5579"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Less: Certain items after tax per share</w:t>
            </w:r>
          </w:p>
        </w:tc>
        <w:tc>
          <w:tcPr>
            <w:tcW w:w="121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(1.55)</w:t>
            </w:r>
          </w:p>
        </w:tc>
        <w:tc>
          <w:tcPr>
            <w:tcW w:w="1210"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(0.04)</w:t>
            </w:r>
          </w:p>
        </w:tc>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(2.05)</w:t>
            </w:r>
          </w:p>
        </w:tc>
        <w:tc>
          <w:tcPr>
            <w:tcW w:w="113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(0.34)</w:t>
            </w:r>
          </w:p>
        </w:tc>
      </w:tr>
      <w:tr>
        <w:trPr/>
        <w:tc>
          <w:tcPr>
            <w:tcW w:w="5579" w:type="dxa"/>
            <w:tcBorders>
              <w:left w:val="single" w:sz="4" w:space="0" w:color="000000"/>
              <w:bottom w:val="single" w:sz="4" w:space="0" w:color="000000"/>
            </w:tcBorders>
            <w:tcMar>
              <w:top w:w="0" w:type="dxa"/>
              <w:left w:w="108"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Adjusted EPS</w:t>
            </w:r>
          </w:p>
        </w:tc>
        <w:tc>
          <w:tcPr>
            <w:tcW w:w="12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$ 1.67</w:t>
            </w:r>
          </w:p>
        </w:tc>
        <w:tc>
          <w:tcPr>
            <w:tcW w:w="12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$ 1.90</w:t>
            </w:r>
          </w:p>
        </w:tc>
        <w:tc>
          <w:tcPr>
            <w:tcW w:w="107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$ 4.82</w:t>
            </w:r>
          </w:p>
        </w:tc>
        <w:tc>
          <w:tcPr>
            <w:tcW w:w="1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$ 5.56</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Sean Keohane, Cabot President and Chief Executive Officer commented: “I am pleased with our strong third-quarter performance as our teams continued to execute at a high level despite a dynamic operating environment. We delivered adjusted EPS of $1.67, an increase of 4% sequentially, driven by strong performance in our Performance Chemicals segment. In Performance Chemicals, segment EBIT increased 19% year-over-year, driven by higher volumes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Page 1 of 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Exhibit 99.1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and expanded unit margins. In Reinforcement Materials, segment EBIT declined 24% year-over-year, as higher volumes were more than offset by lower gross profit per ton. Overall, our results demonstrate the strength of our execution as we continue to navigate the current market conditions.”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Keohane continued, “During the quarter, we advanced a program to expand global conductive additive capacity in our battery materials product line, consisting of targeted investments in both the United States and China. These investments are intended to support expected growth in global battery demand and enable continued expansion of our participation with leading battery manufacturers. We are pleased with the continued momentum in battery materials this fiscal year and reaffirm our expectation of approximately $40 million of EBITDA in fiscal 2026.”</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Financial Detail</w:t>
      </w:r>
    </w:p>
    <w:p>
      <w:pPr>
        <w:pStyle w:val="TextBody"/>
        <w:bidi w:val="0"/>
        <w:jc w:val="left"/>
        <w:rPr>
          <w:rFonts w:ascii="Times New Roman" w:hAnsi="Times New Roman"/>
          <w:sz w:val="20"/>
        </w:rPr>
      </w:pPr>
      <w:r>
        <w:rPr>
          <w:rFonts w:ascii="sans-serif" w:hAnsi="sans-serif"/>
          <w:color w:val="000000"/>
          <w:sz w:val="22"/>
        </w:rPr>
        <w:t>For the third quarter of fiscal 2026, net income attributable to Cabot Corporation was $6 million ($0.12 per common share). Net income reflects an after-tax per share charge from certain items of $1.55, primarily related to charges for restructuring actions and the termination of employee benefit plans. Adjusted EPS for the third quarter of fiscal 2026 was $1.67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Segment Results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Reinforcement Materials</w:t>
      </w:r>
      <w:r>
        <w:rPr>
          <w:rFonts w:ascii="Times New Roman" w:hAnsi="Times New Roman"/>
          <w:color w:val="000000"/>
          <w:sz w:val="20"/>
        </w:rPr>
        <w:t xml:space="preserve"> – </w:t>
      </w:r>
      <w:r>
        <w:rPr>
          <w:rFonts w:ascii="sans-serif" w:hAnsi="sans-serif"/>
          <w:color w:val="000000"/>
          <w:sz w:val="22"/>
        </w:rPr>
        <w:t>Third quarter fiscal 2026 EBIT in Reinforcement Materials decreased by $31 million compared to the third quarter of fiscal 2025. The decline in EBIT was primarily driven by lower gross profit per ton, primarily due to the outcomes of our calendar year 2026 customer agreements, partially offset by higher</w:t>
      </w:r>
      <w:r>
        <w:rPr>
          <w:rFonts w:ascii="Times New Roman" w:hAnsi="Times New Roman"/>
          <w:color w:val="000000"/>
          <w:sz w:val="20"/>
        </w:rPr>
        <w:t xml:space="preserve"> </w:t>
      </w:r>
      <w:r>
        <w:rPr>
          <w:rFonts w:ascii="sans-serif" w:hAnsi="sans-serif"/>
          <w:color w:val="000000"/>
          <w:sz w:val="22"/>
        </w:rPr>
        <w:t>volumes and a more favorable regional product mix. Volumes increased by 5% in the third quarter of fiscal 2026 as compared to the third quarter of fiscal 2025 driven by higher volumes in Asia and the Americas, including higher volumes from our capacity addition in Indonesia and our acquisition in Mexico.</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Global and regional volume changes for Reinforcement Materials for the third quarter of fiscal 2026 as compared to the same quarter of the prior year are set forth in the table below:</w:t>
      </w:r>
    </w:p>
    <w:p>
      <w:pPr>
        <w:pStyle w:val="TextBody"/>
        <w:bidi w:val="0"/>
        <w:jc w:val="left"/>
        <w:rPr/>
      </w:pPr>
      <w:r>
        <w:rPr/>
        <w:t> </w:t>
      </w:r>
    </w:p>
    <w:tbl>
      <w:tblPr>
        <w:tblW w:w="8012" w:type="dxa"/>
        <w:jc w:val="left"/>
        <w:tblInd w:w="0" w:type="dxa"/>
        <w:tblLayout w:type="fixed"/>
        <w:tblCellMar>
          <w:top w:w="28" w:type="dxa"/>
          <w:left w:w="28" w:type="dxa"/>
          <w:bottom w:w="28" w:type="dxa"/>
          <w:right w:w="28" w:type="dxa"/>
        </w:tblCellMar>
      </w:tblPr>
      <w:tblGrid>
        <w:gridCol w:w="5281"/>
        <w:gridCol w:w="2731"/>
      </w:tblGrid>
      <w:tr>
        <w:trPr/>
        <w:tc>
          <w:tcPr>
            <w:tcW w:w="528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528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731" w:type="dxa"/>
            <w:tcBorders>
              <w:top w:val="single" w:sz="4" w:space="0" w:color="000000"/>
            </w:tcBorders>
            <w:tcMar>
              <w:left w:w="0" w:type="dxa"/>
              <w:bottom w:w="0" w:type="dxa"/>
              <w:right w:w="0" w:type="dxa"/>
            </w:tcMar>
            <w:vAlign w:val="center"/>
          </w:tcPr>
          <w:p>
            <w:pPr>
              <w:pStyle w:val="TableContents"/>
              <w:bidi w:val="0"/>
              <w:jc w:val="center"/>
              <w:rPr>
                <w:rFonts w:ascii="sans-serif" w:hAnsi="sans-serif"/>
                <w:color w:val="000000"/>
                <w:sz w:val="22"/>
              </w:rPr>
            </w:pPr>
            <w:r>
              <w:rPr>
                <w:rFonts w:ascii="sans-serif" w:hAnsi="sans-serif"/>
                <w:color w:val="000000"/>
                <w:sz w:val="22"/>
              </w:rPr>
              <w:t>Third Quarter</w:t>
            </w:r>
          </w:p>
          <w:p>
            <w:pPr>
              <w:pStyle w:val="TableContents"/>
              <w:bidi w:val="0"/>
              <w:spacing w:before="0" w:after="283"/>
              <w:jc w:val="center"/>
              <w:rPr>
                <w:rFonts w:ascii="sans-serif" w:hAnsi="sans-serif"/>
                <w:color w:val="000000"/>
                <w:sz w:val="22"/>
                <w:u w:val="single"/>
              </w:rPr>
            </w:pPr>
            <w:r>
              <w:rPr>
                <w:rFonts w:ascii="sans-serif" w:hAnsi="sans-serif"/>
                <w:color w:val="000000"/>
                <w:sz w:val="22"/>
                <w:u w:val="single"/>
              </w:rPr>
              <w:t>Year-over-Year Change</w:t>
            </w:r>
          </w:p>
        </w:tc>
      </w:tr>
      <w:tr>
        <w:trPr/>
        <w:tc>
          <w:tcPr>
            <w:tcW w:w="5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Global Reinforcement Materials Volumes</w:t>
            </w:r>
          </w:p>
        </w:tc>
        <w:tc>
          <w:tcPr>
            <w:tcW w:w="273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sans-serif" w:hAnsi="sans-serif"/>
                <w:b/>
                <w:color w:val="000000"/>
                <w:sz w:val="22"/>
              </w:rPr>
            </w:pPr>
            <w:r>
              <w:rPr>
                <w:rFonts w:ascii="sans-serif" w:hAnsi="sans-serif"/>
                <w:b/>
                <w:color w:val="000000"/>
                <w:sz w:val="22"/>
              </w:rPr>
              <w:t>5%</w:t>
            </w:r>
          </w:p>
        </w:tc>
      </w:tr>
      <w:tr>
        <w:trPr/>
        <w:tc>
          <w:tcPr>
            <w:tcW w:w="52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Asia Pacific</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10%</w:t>
            </w:r>
          </w:p>
        </w:tc>
      </w:tr>
      <w:tr>
        <w:trPr/>
        <w:tc>
          <w:tcPr>
            <w:tcW w:w="52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Europe, Middle East, Africa</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(4%)</w:t>
            </w:r>
          </w:p>
        </w:tc>
      </w:tr>
      <w:tr>
        <w:trPr/>
        <w:tc>
          <w:tcPr>
            <w:tcW w:w="5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Americas</w:t>
            </w:r>
          </w:p>
        </w:tc>
        <w:tc>
          <w:tcPr>
            <w:tcW w:w="27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4%</w:t>
            </w:r>
          </w:p>
        </w:tc>
      </w:tr>
    </w:tbl>
    <w:p>
      <w:pPr>
        <w:pStyle w:val="TextBody"/>
        <w:bidi w:val="0"/>
        <w:jc w:val="left"/>
        <w:rPr>
          <w:rFonts w:ascii="Times New Roman" w:hAnsi="Times New Roman"/>
          <w:sz w:val="20"/>
        </w:rPr>
      </w:pPr>
      <w:bookmarkStart w:id="4" w:name="ole_link4_1"/>
      <w:bookmarkEnd w:id="4"/>
      <w:r>
        <w:rPr>
          <w:rFonts w:ascii="sans-serif" w:hAnsi="sans-serif"/>
          <w:b/>
          <w:color w:val="000000"/>
          <w:sz w:val="22"/>
        </w:rPr>
        <w:t xml:space="preserve">Performance Chemicals – </w:t>
      </w:r>
      <w:bookmarkStart w:id="5" w:name="ole_link3_1"/>
      <w:bookmarkEnd w:id="5"/>
      <w:r>
        <w:rPr>
          <w:rFonts w:ascii="sans-serif" w:hAnsi="sans-serif"/>
          <w:color w:val="000000"/>
          <w:sz w:val="22"/>
        </w:rPr>
        <w:t>Third quarter fiscal 2026 EBIT in Performance Chemicals increased by $11 million compared to the third quarter of fiscal 2025 primarily due to increased volumes and higher gross profit per ton. Volumes increased in our battery materials and fumed metal oxides product lines in the third quarter of fiscal 2026 as compared to the third quarter of fiscal 2025. The increase in battery materials volumes was driven by higher demand for electric vehicles and battery energy storage systems and our strengthening participation with market-leading global battery manufacturers. The increase in fumed metal oxides volumes was driven by growth in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Page 2 of 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Exhibit 99.1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electronics applications. The higher gross profit per ton was primarily due to price increases implemented ahead of rising raw material costs and a favorable product mix.</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Cash Performance</w:t>
      </w:r>
      <w:r>
        <w:rPr>
          <w:rFonts w:ascii="Times New Roman" w:hAnsi="Times New Roman"/>
          <w:color w:val="000000"/>
          <w:sz w:val="20"/>
        </w:rPr>
        <w:t xml:space="preserve"> – </w:t>
      </w:r>
      <w:r>
        <w:rPr>
          <w:rFonts w:ascii="sans-serif" w:hAnsi="sans-serif"/>
          <w:color w:val="000000"/>
          <w:sz w:val="22"/>
        </w:rPr>
        <w:t>The Company ended the third quarter of fiscal 2026 with a cash and cash equivalents balance of $250 million. During the third quarter of fiscal 2026, cash flows from operating activities were a source of $75 million. Uses of cash during the quarter included funding $44 million of higher net working capital due to the rapidly rising raw material costs during the quarter, $38 million in capital expenditures and $24 million for the payment of dividends. We ended the third quarter with $1.3 billion of available liquidity and a net debt to EBITDA ratio of 1.4 times as of June 30,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Taxes – </w:t>
      </w:r>
      <w:r>
        <w:rPr>
          <w:rFonts w:ascii="sans-serif" w:hAnsi="sans-serif"/>
          <w:color w:val="000000"/>
          <w:sz w:val="22"/>
        </w:rPr>
        <w:t>During the third quarter of fiscal 2026, the Company recorded tax expense of $46 million, resulting in an effective tax rate of 79%. The provision for income taxes included a net discrete tax expense of $19 million primarily related to changes in valuation allowance as a result of the Company ceasing carbon black production at its plant in Campana, Argentina. On a year-to-date basis, the Company’s operating tax rate was 29% as of June 30, 2026, and we expect our full-year fiscal 2026 operating tax rate to be in the range of 28% to 30%.</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Outlook</w:t>
      </w:r>
    </w:p>
    <w:p>
      <w:pPr>
        <w:pStyle w:val="TextBody"/>
        <w:bidi w:val="0"/>
        <w:jc w:val="left"/>
        <w:rPr>
          <w:rFonts w:ascii="sans-serif" w:hAnsi="sans-serif"/>
          <w:color w:val="000000"/>
          <w:sz w:val="22"/>
        </w:rPr>
      </w:pPr>
      <w:r>
        <w:rPr>
          <w:rFonts w:ascii="sans-serif" w:hAnsi="sans-serif"/>
          <w:color w:val="000000"/>
          <w:sz w:val="22"/>
        </w:rPr>
        <w:t>Commenting on the outlook for the Company, Sean Keohane said, “Given the year-to-date performance and our expectations for the fourth fiscal quarter, we are tightening our fiscal 2026 Adjusted EPS guidance range from $6.00 to $6.50 per share to $6.15 to $6.45 per share.”</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Keohane continued, “While the macroeconomic and geopolitical environment remains dynamic, our teams continue to execute at a high level. We have demonstrated our ability to successfully manage through changing conditions while maintaining strong operational and financial performance, generating robust cash flow, and delivering value to our customers.”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Keohane concluded, “As I prepare to retire after nearly 25 years with Cabot and more than 10 years as President and CEO, I am incredibly proud of what the Cabot team has accomplished, and I am excited about the future of the Company. I am pleased that the Board has announced the appointment of Erica McLaughlin to succeed me as CEO. This reflects the Board’s longstanding commitment to thoughtful succession planning and positions the Company for continued success. Erica is an exceptional leader with deep knowledge of our businesses, customers, and strategy, and I am confident she will build on our strong foundation. Supported by our operating model, deep and experienced management team and robust financial position, I believe Cabot is well positioned to deliver a strong fiscal 2026 while continuing to execute on our strategy and create long-term value for shareholders.”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Earnings Call</w:t>
      </w:r>
    </w:p>
    <w:p>
      <w:pPr>
        <w:pStyle w:val="TextBody"/>
        <w:bidi w:val="0"/>
        <w:jc w:val="left"/>
        <w:rPr>
          <w:rFonts w:ascii="Times New Roman" w:hAnsi="Times New Roman"/>
          <w:sz w:val="20"/>
        </w:rPr>
      </w:pPr>
      <w:r>
        <w:rPr>
          <w:rFonts w:ascii="sans-serif" w:hAnsi="sans-serif"/>
          <w:color w:val="000000"/>
          <w:sz w:val="22"/>
        </w:rPr>
        <w:t xml:space="preserve">The Company will host a conference call with industry analysts at 8:00 a.m. Eastern time on Tuesday, August 4, 2026. The call can be accessed through Cabot’s investor relations website at </w:t>
      </w:r>
      <w:r>
        <w:rPr>
          <w:rFonts w:ascii="sans-serif" w:hAnsi="sans-serif"/>
          <w:sz w:val="22"/>
        </w:rPr>
        <w:t>http://investor.cabot-corp.com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u w:val="single"/>
        </w:rPr>
        <w:t>About Cabot Corporation</w:t>
        <w:br/>
      </w:r>
      <w:r>
        <w:rPr>
          <w:rFonts w:ascii="sans-serif" w:hAnsi="sans-serif"/>
          <w:color w:val="000000"/>
          <w:sz w:val="22"/>
        </w:rPr>
        <w:t>Cabot Corporation (NYSE: CBT) is a global specialty chemicals and performance materials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Page 3 of 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Exhibit 99.1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company headquartered in Boston, Massachusetts. The company is a leading provider of </w:t>
      </w:r>
      <w:r>
        <w:rPr>
          <w:rFonts w:ascii="sans-serif" w:hAnsi="sans-serif"/>
          <w:sz w:val="22"/>
        </w:rPr>
        <w:t>reinforcing carbons</w:t>
      </w:r>
      <w:r>
        <w:rPr>
          <w:rFonts w:ascii="sans-serif" w:hAnsi="sans-serif"/>
          <w:color w:val="000000"/>
          <w:sz w:val="22"/>
        </w:rPr>
        <w:t xml:space="preserve">, </w:t>
      </w:r>
      <w:r>
        <w:rPr>
          <w:rFonts w:ascii="sans-serif" w:hAnsi="sans-serif"/>
          <w:sz w:val="22"/>
        </w:rPr>
        <w:t>specialty carbons</w:t>
      </w:r>
      <w:r>
        <w:rPr>
          <w:rFonts w:ascii="sans-serif" w:hAnsi="sans-serif"/>
          <w:color w:val="000000"/>
          <w:sz w:val="22"/>
        </w:rPr>
        <w:t xml:space="preserve">, </w:t>
      </w:r>
      <w:r>
        <w:rPr>
          <w:rFonts w:ascii="sans-serif" w:hAnsi="sans-serif"/>
          <w:sz w:val="22"/>
        </w:rPr>
        <w:t>battery materials</w:t>
      </w:r>
      <w:r>
        <w:rPr>
          <w:rFonts w:ascii="sans-serif" w:hAnsi="sans-serif"/>
          <w:color w:val="CE181E"/>
          <w:sz w:val="22"/>
        </w:rPr>
        <w:t>,</w:t>
      </w:r>
      <w:r>
        <w:rPr>
          <w:rFonts w:ascii="Times New Roman" w:hAnsi="Times New Roman"/>
          <w:color w:val="000000"/>
          <w:sz w:val="20"/>
        </w:rPr>
        <w:t xml:space="preserve"> </w:t>
      </w:r>
      <w:r>
        <w:rPr>
          <w:rFonts w:ascii="sans-serif" w:hAnsi="sans-serif"/>
          <w:sz w:val="22"/>
        </w:rPr>
        <w:t>engineered elastomer composites</w:t>
      </w:r>
      <w:r>
        <w:rPr>
          <w:rFonts w:ascii="sans-serif" w:hAnsi="sans-serif"/>
          <w:color w:val="000000"/>
          <w:sz w:val="22"/>
        </w:rPr>
        <w:t xml:space="preserve">, </w:t>
      </w:r>
      <w:r>
        <w:rPr>
          <w:rFonts w:ascii="sans-serif" w:hAnsi="sans-serif"/>
          <w:sz w:val="22"/>
        </w:rPr>
        <w:t>inkjet colorants</w:t>
      </w:r>
      <w:r>
        <w:rPr>
          <w:rFonts w:ascii="sans-serif" w:hAnsi="sans-serif"/>
          <w:color w:val="000000"/>
          <w:sz w:val="22"/>
        </w:rPr>
        <w:t xml:space="preserve">, </w:t>
      </w:r>
      <w:r>
        <w:rPr>
          <w:rFonts w:ascii="sans-serif" w:hAnsi="sans-serif"/>
          <w:sz w:val="22"/>
        </w:rPr>
        <w:t>masterbatches and conductive compounds</w:t>
      </w:r>
      <w:r>
        <w:rPr>
          <w:rFonts w:ascii="sans-serif" w:hAnsi="sans-serif"/>
          <w:color w:val="000000"/>
          <w:sz w:val="22"/>
        </w:rPr>
        <w:t xml:space="preserve">, </w:t>
      </w:r>
      <w:r>
        <w:rPr>
          <w:rFonts w:ascii="sans-serif" w:hAnsi="sans-serif"/>
          <w:sz w:val="22"/>
        </w:rPr>
        <w:t>fumed metal oxides</w:t>
      </w:r>
      <w:r>
        <w:rPr>
          <w:rFonts w:ascii="Times New Roman" w:hAnsi="Times New Roman"/>
          <w:color w:val="000000"/>
          <w:sz w:val="20"/>
        </w:rPr>
        <w:t xml:space="preserve"> </w:t>
      </w:r>
      <w:r>
        <w:rPr>
          <w:rFonts w:ascii="sans-serif" w:hAnsi="sans-serif"/>
          <w:color w:val="000000"/>
          <w:sz w:val="22"/>
        </w:rPr>
        <w:t xml:space="preserve">and </w:t>
      </w:r>
      <w:r>
        <w:rPr>
          <w:rFonts w:ascii="sans-serif" w:hAnsi="sans-serif"/>
          <w:sz w:val="22"/>
        </w:rPr>
        <w:t>aerogel</w:t>
      </w:r>
      <w:r>
        <w:rPr>
          <w:rFonts w:ascii="sans-serif" w:hAnsi="sans-serif"/>
          <w:color w:val="000000"/>
          <w:sz w:val="22"/>
        </w:rPr>
        <w:t xml:space="preserve">. For more information on Cabot, please visit the company’s website at </w:t>
      </w:r>
      <w:r>
        <w:rPr>
          <w:rFonts w:ascii="sans-serif" w:hAnsi="sans-serif"/>
          <w:sz w:val="22"/>
        </w:rPr>
        <w:t>cabotcorp.com</w:t>
      </w:r>
      <w:r>
        <w:rPr>
          <w:rFonts w:ascii="sans-serif" w:hAnsi="sans-serif"/>
          <w:color w:val="000000"/>
          <w:sz w:val="22"/>
        </w:rPr>
        <w:t>. The Company regularly posts important information on its website and encourages investors and potential investors to consult the Cabot website regularly.</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Forward-Looking Statements –</w:t>
      </w:r>
      <w:r>
        <w:rPr>
          <w:rFonts w:ascii="Times New Roman" w:hAnsi="Times New Roman"/>
          <w:color w:val="000000"/>
          <w:sz w:val="20"/>
        </w:rPr>
        <w:t xml:space="preserve"> </w:t>
      </w:r>
      <w:r>
        <w:rPr>
          <w:rFonts w:ascii="sans-serif" w:hAnsi="sans-serif"/>
          <w:color w:val="000000"/>
          <w:sz w:val="22"/>
        </w:rPr>
        <w:t>This earnings release contains forward-looking statements. All statements that address expectations or projections about the future, including with respect to our expectations for our performance in fiscal year 2026, including our expectations for Adjusted EPS for fiscal 2026 and EBITDA in our battery materials product line, our expectations for customer demand and growth opportunities in our battery materials product line including our participation with leading battery manufacturers and our investments to support that expected growth, our expected operating tax rate for fiscal 2026, with respect to the planned leadership transition and expectations for future performance growth and value creation for shareholders and our assumptions underlying those expectations are forward-looking statements. These statements are not guarantees of future performance and are subject to risks, uncertainties, potentially inaccurate assumptions, and other factors, some of which are beyond our control and difficult to predict. If known or unknown risks materialize, or should underlying assumptions prove inaccurate, our actual results could differ materially from past results and from those expressed or implied by forward-looking statements. Important factors that could cause our results to differ materially from those expressed or implied in the forward-looking statements include, but are not limited to, the inherent uncertainty of management transitions and the ability of the Company to successfully execute its planned leadership transition, industry capacity utilization and competition from other specialty chemical companies; safety, health and environmental requirements and related constraints imposed on our business; regulatory and financial risks related to climate change developments; volatility in the price and availability of energy and raw materials, including with respect to the Russian invasion of Ukraine and conflict in the Middle East; a significant adverse change in a customer relationship or the failure of a customer to perform its obligations under agreements with us; failure to achieve growth expectations from new products, applications and technology developments; failure to realize benefits from acquisitions, alliances, or joint ventures or achieve our portfolio management objectives; unanticipated delays in, or increased cost of site development projects; negative or uncertain worldwide or regional economic conditions and market opportunities, including from trade relations, global health matters or geo-political conflicts; litigation or legal proceedings; interest rates, tax rates, currency exchange controls, tariffs and fluctuations in foreign currency rates; and the accuracy of the assumptions we used in establishing reserves for our share of liability for respirator claims. These factors are discussed more fully in the reports we file with the Securities and Exchange Commission (“SEC”), particularly under the heading “Risk Factors” in our annual report on Form 10-K for our fiscal year ended September 30, 2025, which are filed with the SEC at www.sec.gov. We assume no obligation to provide revisions to any forward-looking statements should circumstances change, except as otherwise required by securities and other applicable laws.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Page 4 of 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Exhibit 99.1</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Use of Non-GAAP Financial Measures</w:t>
      </w:r>
    </w:p>
    <w:p>
      <w:pPr>
        <w:pStyle w:val="TextBody"/>
        <w:bidi w:val="0"/>
        <w:jc w:val="left"/>
        <w:rPr>
          <w:rFonts w:ascii="Times New Roman" w:hAnsi="Times New Roman"/>
          <w:sz w:val="20"/>
        </w:rPr>
      </w:pPr>
      <w:r>
        <w:rPr>
          <w:rFonts w:ascii="sans-serif" w:hAnsi="sans-serif"/>
          <w:color w:val="000000"/>
          <w:sz w:val="22"/>
        </w:rPr>
        <w:t>To supplement Cabot’s consolidated financial statements presented on a generally accepted accounting principle (“GAAP”) basis, the preceding discussion of our results and the accompanying financial tables report Adjusted EPS, Adjusted EBITDA, our operating tax rate, Free Cash Flow and Discretionary Free Cash Flow, all of which are non-GAAP financial measures. These non-GAAP financial measures are not computed in accordance with, or as an alternative to, GAAP, and the definitions of these measures may not be comparable to those used by other companies. Reconciliations of Adjusted EPS to net income (loss) per share attributable to Cabot Corporation, the most directly comparable GAAP financial measure, Adjusted EBITDA to Income (loss) from operations before income taxes and equity in earnings of affiliated companies, the most directly comparable GAAP financial measure of each such non-GAAP measure, operating tax rate to effective tax rate, the most directly comparable GAAP financial measure and Free Cash Flow and Discretionary Free Cash Flow to Cash flow provided by (used in) operating activities, the most directly comparable GAAP financial measure, are provided in the tables titled “Cabot Corporation Certain Items and Reconciliation of Adjusted EPS and Operating Tax Rate” and “Cabot Corporation Reconciliation of Non-GAAP Financial Measures.”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Management believes these non-GAAP measures provide investors with greater transparency to the information used by Cabot management in its financial and operational decision-making, allow investors to see Cabot’s results through the eyes of management, and better enable Cabot’s investors to understand Cabot’s operating performance and financial condition.</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Adjusted EPS</w:t>
      </w:r>
      <w:r>
        <w:rPr>
          <w:rFonts w:ascii="sans-serif" w:hAnsi="sans-serif"/>
          <w:color w:val="000000"/>
          <w:sz w:val="22"/>
        </w:rPr>
        <w:t>. In calculating Adjusted EPS, we exclude from our net income (loss) attributable to Cabot Corporation items of expense and income that management does not consider representative of the Company’s business operations. Accordingly, reporting earnings on an adjusted basis supplements the GAAP measure of performance and provides additional information related to the underlying performance of the business. For example, certain of the items we exclude are items that we are required by GAAP to recognize in one period that relate to activities extending over several periods or relate to single events that management considers to be unusual and infrequent, although not necessarily non-recurring. We refer to these items as “certain items.” Management believes excluding these items facilitates operating performance comparisons from period to period by eliminating differences caused by the existence and timing of certain expense and income items that would not otherwise be apparent on a GAAP basis and evaluates the Company’s operating performance without the impact of these costs or benefits. Management also uses Adjusted EPS as a key measure in evaluating management performance for incentive compensation purposes.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The items of income and expense that we exclude from our calculations of Adjusted EPS but that are included in our GAAP net income (loss) per share, as applicable in a particular reporting period, include, but are not limited to, the following:</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Global restructuring activities, which include costs or benefits associated with cost reduction initiatives or plant closures and are primarily related to (i) employee termination costs, (ii) asset impairment charges associated with restructuring actions, (iii) costs to close facilities, including environmental costs and contract termination penalties, and (iv) gains realized on the sale of land or equipment associated with restructured plants or locations.</w:t>
      </w:r>
    </w:p>
    <w:p>
      <w:pPr>
        <w:pStyle w:val="TextBody"/>
        <w:bidi w:val="0"/>
        <w:jc w:val="left"/>
        <w:rPr>
          <w:rFonts w:ascii="Times New Roman" w:hAnsi="Times New Roman"/>
          <w:color w:val="000000"/>
          <w:sz w:val="20"/>
        </w:rPr>
      </w:pPr>
      <w:r>
        <w:rPr>
          <w:rFonts w:ascii="Times New Roman" w:hAnsi="Times New Roman"/>
          <w:color w:val="000000"/>
          <w:sz w:val="20"/>
        </w:rPr>
        <w:t>Page 5 of 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Exhibit 99.1</w:t>
      </w:r>
    </w:p>
    <w:p>
      <w:pPr>
        <w:pStyle w:val="TextBody"/>
        <w:bidi w:val="0"/>
        <w:jc w:val="left"/>
        <w:rPr/>
      </w:pPr>
      <w:r>
        <w:rPr/>
        <w:t> </w:t>
      </w:r>
    </w:p>
    <w:p>
      <w:pPr>
        <w:pStyle w:val="TextBody"/>
        <w:bidi w:val="0"/>
        <w:jc w:val="left"/>
        <w:rPr/>
      </w:pPr>
      <w:r>
        <w:rPr/>
        <w:t>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Legal and environmental matters and reserves, which consist of costs or benefits for matters typically related to former businesses or that are otherwise incurred outside of the ordinary course of business.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Acquisition and integration-related charges, which include transaction costs, redundant costs incurred during the period of integration, and costs associated with transitioning certain management and business processes to Cabot’s processes.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 xml:space="preserve">Employee benefit plan settlements, which consist of either charges or benefits associated with the termination of a pension plan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Argentina controlled currency devaluation loss related to the foreign exchange loss from government-controlled currency devaluations on our net monetary assets denominated in the Argentine peso and investment losses related to the utilization of government bond programs established for the settlement of certain foreign payables.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Cabot does not provide an expected GAAP EPS range or reconciliation of the Adjusted EPS range with an expected GAAP EPS range because, without unreasonable effort, we are unable to predict with reasonable certainty the matters we would allocate to “certain items,” including unusual gains and losses, costs associated with future restructurings, acquisition-related expenses and litigation outcomes. These items are uncertain, depend on various factors, and could have a material impact on GAAP EPS in future periods.</w:t>
      </w:r>
    </w:p>
    <w:p>
      <w:pPr>
        <w:pStyle w:val="TextBody"/>
        <w:bidi w:val="0"/>
        <w:spacing w:before="240" w:after="283"/>
        <w:jc w:val="left"/>
        <w:rPr>
          <w:rFonts w:ascii="Times New Roman" w:hAnsi="Times New Roman"/>
          <w:sz w:val="20"/>
        </w:rPr>
      </w:pPr>
      <w:r>
        <w:rPr>
          <w:rFonts w:ascii="sans-serif" w:hAnsi="sans-serif"/>
          <w:b/>
          <w:color w:val="000000"/>
          <w:sz w:val="22"/>
        </w:rPr>
        <w:t>Adjusted EBITDA</w:t>
      </w:r>
      <w:r>
        <w:rPr>
          <w:rFonts w:ascii="sans-serif" w:hAnsi="sans-serif"/>
          <w:color w:val="000000"/>
          <w:sz w:val="22"/>
        </w:rPr>
        <w:t>. Adjusted EBITDA reflects Income (loss) from operations before income taxes and equity in earnings of affiliated companies adjusted for certain items, interest expense, depreciation and amortization, equity in earnings of affiliated companies, and unallocated corporate costs, which include unallocated corporate overhead expenses such as certain corporate salaries and headquarters expenses, plus costs related to corporate projects and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sans-serif" w:hAnsi="sans-serif"/>
          <w:b/>
          <w:color w:val="000000"/>
          <w:sz w:val="22"/>
        </w:rPr>
        <w:t>Free Cash Flow.</w:t>
      </w:r>
      <w:r>
        <w:rPr>
          <w:rFonts w:ascii="Times New Roman" w:hAnsi="Times New Roman"/>
          <w:color w:val="000000"/>
          <w:sz w:val="20"/>
        </w:rPr>
        <w:t xml:space="preserve"> </w:t>
      </w:r>
      <w:r>
        <w:rPr>
          <w:rFonts w:ascii="sans-serif" w:hAnsi="sans-serif"/>
          <w:color w:val="000000"/>
          <w:sz w:val="22"/>
        </w:rPr>
        <w:t>To calculate “Free Cash Flow” we deduct Additions to property, plant and equipment from cash flow provided by (used in) operating activities.</w:t>
      </w:r>
    </w:p>
    <w:p>
      <w:pPr>
        <w:pStyle w:val="TextBody"/>
        <w:bidi w:val="0"/>
        <w:spacing w:before="240" w:after="283"/>
        <w:jc w:val="left"/>
        <w:rPr>
          <w:rFonts w:ascii="Times New Roman" w:hAnsi="Times New Roman"/>
          <w:sz w:val="20"/>
        </w:rPr>
      </w:pPr>
      <w:r>
        <w:rPr>
          <w:rFonts w:ascii="sans-serif" w:hAnsi="sans-serif"/>
          <w:b/>
          <w:color w:val="000000"/>
          <w:sz w:val="22"/>
        </w:rPr>
        <w:t xml:space="preserve">Discretionary Free Cash Flow. </w:t>
      </w:r>
      <w:r>
        <w:rPr>
          <w:rFonts w:ascii="sans-serif" w:hAnsi="sans-serif"/>
          <w:color w:val="000000"/>
          <w:sz w:val="22"/>
        </w:rPr>
        <w:t>To calculate “Discretionary Free Cash Flow” we deduct sustaining and compliance capital expenditures and changes in Net Working Capital from cash flow provided by (used in) operating activities.</w:t>
      </w:r>
    </w:p>
    <w:p>
      <w:pPr>
        <w:pStyle w:val="TextBody"/>
        <w:bidi w:val="0"/>
        <w:spacing w:before="240" w:after="283"/>
        <w:jc w:val="left"/>
        <w:rPr>
          <w:rFonts w:ascii="Times New Roman" w:hAnsi="Times New Roman"/>
          <w:sz w:val="20"/>
        </w:rPr>
      </w:pPr>
      <w:r>
        <w:rPr>
          <w:rFonts w:ascii="sans-serif" w:hAnsi="sans-serif"/>
          <w:b/>
          <w:color w:val="000000"/>
          <w:sz w:val="22"/>
        </w:rPr>
        <w:t>Operating Tax Rate</w:t>
      </w:r>
      <w:r>
        <w:rPr>
          <w:rFonts w:ascii="sans-serif" w:hAnsi="sans-serif"/>
          <w:color w:val="000000"/>
          <w:sz w:val="22"/>
        </w:rPr>
        <w:t>. Our “operating tax rate” is calculated based upon management's forecast of the annual operating tax rate for the fiscal year applied to adjusted pre-tax earnings. The operating tax rate excludes income tax (expense) benefit on certain items, discrete tax items and, on a quarterly basis the timing of losses in certain jurisdictions. The income tax (expense) benefit on certain items is determined using the applicable rates in the taxing jurisdictions in which the certain items occurred and includes both current and deferred income tax (expense) benefit based on the nature of the certain items. Discrete tax items include, but are not limited to, changes in valuation allowance, uncertain tax positions, and other tax items, such as the tax impact of legislative changes and tax accruals on historic earnings due to changes in indefinite reinvestment assertions. Management believes that this non-GAAP financial measure is useful supplemental information because it helps our investors compare our tax rate year to year on a consistent basis and to understand what our tax rate on current operations would be without the impact of these items.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Page 6 of 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Exhibit 99.1</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Cabot does not provide a forward-looking reconciliation of the operating tax rate range with an effective tax rate range because, without unreasonable effort, we are unable to predict with reasonable certainty the matters we would allocate to “certain items,” including unusual gains and losses, costs associated with future restructurings, acquisition-related expenses and litigation outcomes. These items are uncertain, depend on various factors, and could have a material impact on the effective tax rate in future periods.</w:t>
      </w:r>
    </w:p>
    <w:p>
      <w:pPr>
        <w:pStyle w:val="TextBody"/>
        <w:bidi w:val="0"/>
        <w:jc w:val="left"/>
        <w:rPr>
          <w:rFonts w:ascii="sans-serif" w:hAnsi="sans-serif"/>
          <w:b/>
          <w:color w:val="000000"/>
          <w:sz w:val="22"/>
        </w:rPr>
      </w:pPr>
      <w:r>
        <w:rPr>
          <w:rFonts w:ascii="sans-serif" w:hAnsi="sans-serif"/>
          <w:b/>
          <w:color w:val="000000"/>
          <w:sz w:val="22"/>
        </w:rPr>
        <w:t>Explanation of Terms Used</w:t>
      </w:r>
    </w:p>
    <w:p>
      <w:pPr>
        <w:pStyle w:val="TextBody"/>
        <w:bidi w:val="0"/>
        <w:jc w:val="left"/>
        <w:rPr>
          <w:rFonts w:ascii="Times New Roman" w:hAnsi="Times New Roman"/>
          <w:sz w:val="20"/>
        </w:rPr>
      </w:pPr>
      <w:r>
        <w:rPr>
          <w:rFonts w:ascii="sans-serif" w:hAnsi="sans-serif"/>
          <w:b/>
          <w:color w:val="000000"/>
          <w:sz w:val="22"/>
        </w:rPr>
        <w:t>Product Mix.</w:t>
      </w:r>
      <w:r>
        <w:rPr>
          <w:rFonts w:ascii="Times New Roman" w:hAnsi="Times New Roman"/>
          <w:color w:val="000000"/>
          <w:sz w:val="20"/>
        </w:rPr>
        <w:t xml:space="preserve"> </w:t>
      </w:r>
      <w:r>
        <w:rPr>
          <w:rFonts w:ascii="sans-serif" w:hAnsi="sans-serif"/>
          <w:color w:val="000000"/>
          <w:sz w:val="22"/>
        </w:rPr>
        <w:t>The term “product mix” refers to the mix of types and grade of products sold or the mix of geographic regions where products are sold, and the positive or negative impact this has on the revenue or profitability of the business or segment.</w:t>
      </w:r>
    </w:p>
    <w:p>
      <w:pPr>
        <w:pStyle w:val="TextBody"/>
        <w:bidi w:val="0"/>
        <w:jc w:val="left"/>
        <w:rPr>
          <w:rFonts w:ascii="Times New Roman" w:hAnsi="Times New Roman"/>
          <w:sz w:val="20"/>
        </w:rPr>
      </w:pPr>
      <w:r>
        <w:rPr>
          <w:rFonts w:ascii="sans-serif" w:hAnsi="sans-serif"/>
          <w:b/>
          <w:color w:val="000000"/>
          <w:sz w:val="22"/>
        </w:rPr>
        <w:t>Net Working Capital.</w:t>
      </w:r>
      <w:r>
        <w:rPr>
          <w:rFonts w:ascii="Times New Roman" w:hAnsi="Times New Roman"/>
          <w:color w:val="000000"/>
          <w:sz w:val="20"/>
        </w:rPr>
        <w:t xml:space="preserve"> </w:t>
      </w:r>
      <w:r>
        <w:rPr>
          <w:rFonts w:ascii="sans-serif" w:hAnsi="sans-serif"/>
          <w:color w:val="000000"/>
          <w:sz w:val="22"/>
        </w:rPr>
        <w:t>The term “net working capital” includes accounts receivable, inventory and accounts payable and accrued expenses.</w:t>
      </w:r>
    </w:p>
    <w:p>
      <w:pPr>
        <w:pStyle w:val="TextBody"/>
        <w:bidi w:val="0"/>
        <w:jc w:val="left"/>
        <w:rPr>
          <w:rFonts w:ascii="Times New Roman" w:hAnsi="Times New Roman"/>
          <w:color w:val="000000"/>
          <w:sz w:val="20"/>
        </w:rPr>
      </w:pPr>
      <w:r>
        <w:rPr>
          <w:rFonts w:ascii="Times New Roman" w:hAnsi="Times New Roman"/>
          <w:color w:val="000000"/>
          <w:sz w:val="20"/>
        </w:rPr>
        <w:t>Page 7 of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sans-serif" w:hAnsi="sans-serif"/>
          <w:b/>
          <w:color w:val="000000"/>
          <w:sz w:val="20"/>
        </w:rPr>
      </w:pPr>
      <w:r>
        <w:rPr>
          <w:rFonts w:ascii="sans-serif" w:hAnsi="sans-serif"/>
          <w:b/>
          <w:color w:val="000000"/>
          <w:sz w:val="20"/>
        </w:rPr>
        <w:t>Exhibit 99.1</w:t>
      </w:r>
    </w:p>
    <w:p>
      <w:pPr>
        <w:pStyle w:val="TextBody"/>
        <w:bidi w:val="0"/>
        <w:jc w:val="left"/>
        <w:rPr/>
      </w:pPr>
      <w:r>
        <w:rPr/>
        <w:t> </w:t>
      </w:r>
    </w:p>
    <w:p>
      <w:pPr>
        <w:pStyle w:val="TextBody"/>
        <w:bidi w:val="0"/>
        <w:jc w:val="left"/>
        <w:rPr/>
      </w:pPr>
      <w:r>
        <w:rPr/>
        <w:t> </w:t>
      </w:r>
    </w:p>
    <w:tbl>
      <w:tblPr>
        <w:tblW w:w="12086" w:type="dxa"/>
        <w:jc w:val="left"/>
        <w:tblInd w:w="0" w:type="dxa"/>
        <w:tblLayout w:type="fixed"/>
        <w:tblCellMar>
          <w:top w:w="28" w:type="dxa"/>
          <w:left w:w="28" w:type="dxa"/>
          <w:bottom w:w="28" w:type="dxa"/>
          <w:right w:w="28" w:type="dxa"/>
        </w:tblCellMar>
      </w:tblPr>
      <w:tblGrid>
        <w:gridCol w:w="3169"/>
        <w:gridCol w:w="2864"/>
        <w:gridCol w:w="1348"/>
        <w:gridCol w:w="387"/>
        <w:gridCol w:w="885"/>
        <w:gridCol w:w="166"/>
        <w:gridCol w:w="146"/>
        <w:gridCol w:w="211"/>
        <w:gridCol w:w="481"/>
        <w:gridCol w:w="166"/>
        <w:gridCol w:w="146"/>
        <w:gridCol w:w="211"/>
        <w:gridCol w:w="586"/>
        <w:gridCol w:w="166"/>
        <w:gridCol w:w="146"/>
        <w:gridCol w:w="211"/>
        <w:gridCol w:w="586"/>
        <w:gridCol w:w="211"/>
      </w:tblGrid>
      <w:tr>
        <w:trPr/>
        <w:tc>
          <w:tcPr>
            <w:tcW w:w="3169"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9" w:type="dxa"/>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jc w:val="left"/>
              <w:rPr/>
            </w:pPr>
            <w:r>
              <w:rPr/>
              <w:t> </w:t>
            </w:r>
          </w:p>
        </w:tc>
        <w:tc>
          <w:tcPr>
            <w:tcW w:w="2864"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348"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272"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r>
      <w:tr>
        <w:trPr/>
        <w:tc>
          <w:tcPr>
            <w:tcW w:w="8653" w:type="dxa"/>
            <w:gridSpan w:val="5"/>
            <w:tcBorders>
              <w:left w:val="single" w:sz="4" w:space="0" w:color="000000"/>
            </w:tcBorders>
            <w:shd w:fill="C0C0C0"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CONSOLIDATED STATEMENTS OF OPERATIONS</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jc w:val="left"/>
              <w:rPr/>
            </w:pPr>
            <w:r>
              <w:rPr/>
              <w:t> </w:t>
            </w:r>
          </w:p>
        </w:tc>
        <w:tc>
          <w:tcPr>
            <w:tcW w:w="2864"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r>
      <w:tr>
        <w:trPr/>
        <w:tc>
          <w:tcPr>
            <w:tcW w:w="3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Periods ended June 30</w:t>
            </w:r>
          </w:p>
        </w:tc>
        <w:tc>
          <w:tcPr>
            <w:tcW w:w="258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w:t>
            </w:r>
          </w:p>
        </w:tc>
        <w:tc>
          <w:tcPr>
            <w:tcW w:w="19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Nine Months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except per share amounts (unaudited)</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 and other operating revenues...............................................................</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Gross profit..................................................................................................</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and administrative expenses....................................................................</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technical expenses......................................................................</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Income (loss) from operations....................................................................</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and dividend income..............................................................................</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(loss) from operations before income taxes and equity in</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earnings of affiliated companies</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benefit for income taxes.....................................................................</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earnings of affiliated companies, net of tax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Net income (loss).......................................................................................</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noncontrolling interests, net of tax.......................</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Net income (loss) attributable to Cabot Corporation..........................................................................................................................</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Weighted-average common shares outstanding</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Basic...........................................................................................................</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Diluted.........................................................................................................</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Earnings (loss) per common share:</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Basic...........................................................................................................</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Diluted.........................................................................................................</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1506" w:type="dxa"/>
        <w:jc w:val="left"/>
        <w:tblInd w:w="0" w:type="dxa"/>
        <w:tblLayout w:type="fixed"/>
        <w:tblCellMar>
          <w:top w:w="28" w:type="dxa"/>
          <w:left w:w="28" w:type="dxa"/>
          <w:bottom w:w="28" w:type="dxa"/>
          <w:right w:w="28" w:type="dxa"/>
        </w:tblCellMar>
      </w:tblPr>
      <w:tblGrid>
        <w:gridCol w:w="330"/>
        <w:gridCol w:w="301"/>
        <w:gridCol w:w="6750"/>
        <w:gridCol w:w="211"/>
        <w:gridCol w:w="481"/>
        <w:gridCol w:w="166"/>
        <w:gridCol w:w="146"/>
        <w:gridCol w:w="211"/>
        <w:gridCol w:w="481"/>
        <w:gridCol w:w="166"/>
        <w:gridCol w:w="146"/>
        <w:gridCol w:w="211"/>
        <w:gridCol w:w="586"/>
        <w:gridCol w:w="166"/>
        <w:gridCol w:w="146"/>
        <w:gridCol w:w="211"/>
        <w:gridCol w:w="586"/>
        <w:gridCol w:w="211"/>
      </w:tblGrid>
      <w:tr>
        <w:trPr/>
        <w:tc>
          <w:tcPr>
            <w:tcW w:w="3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 w:type="dxa"/>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jc w:val="left"/>
              <w:rPr/>
            </w:pPr>
            <w:r>
              <w:rPr/>
              <w:t> </w:t>
            </w:r>
          </w:p>
        </w:tc>
        <w:tc>
          <w:tcPr>
            <w:tcW w:w="30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750"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left w:val="single" w:sz="4" w:space="0" w:color="000000"/>
            </w:tcBorders>
            <w:shd w:fill="C0C0C0"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SUMMARY RESULTS BY SEGMENT</w:t>
            </w:r>
          </w:p>
        </w:tc>
        <w:tc>
          <w:tcPr>
            <w:tcW w:w="692"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 w:type="dxa"/>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750"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r>
      <w:tr>
        <w:trPr/>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Periods ended June 30</w:t>
            </w:r>
          </w:p>
        </w:tc>
        <w:tc>
          <w:tcPr>
            <w:tcW w:w="16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Nine Months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except per share amounts (unaudited)</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Sales</w:t>
            </w:r>
          </w:p>
        </w:tc>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Reinforcement Materials....................................................................................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 Chemicals.....................................................................................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Segment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Unallocated and other </w:t>
            </w:r>
            <w:r>
              <w:rPr>
                <w:rFonts w:ascii="Arial" w:hAnsi="Arial"/>
                <w:color w:val="000000"/>
                <w:sz w:val="13"/>
              </w:rPr>
              <w:t>(A)</w:t>
            </w:r>
            <w:r>
              <w:rPr>
                <w:rFonts w:ascii="Arial" w:hAnsi="Arial"/>
                <w:color w:val="000000"/>
                <w:sz w:val="20"/>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Net sales and other operating 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 xml:space="preserve">Segment Earnings Before Interest and Taxes </w:t>
            </w:r>
            <w:r>
              <w:rPr>
                <w:rFonts w:ascii="Arial" w:hAnsi="Arial"/>
                <w:b/>
                <w:color w:val="000000"/>
                <w:sz w:val="13"/>
              </w:rPr>
              <w:t>(B)</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Reinforcement Materials....................................................................................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 Chemicals.....................................................................................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Unallocated and Other</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Certain items </w:t>
            </w:r>
            <w:r>
              <w:rPr>
                <w:rFonts w:ascii="Arial" w:hAnsi="Arial"/>
                <w:color w:val="000000"/>
                <w:sz w:val="13"/>
              </w:rPr>
              <w:t>(C)</w:t>
            </w: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Unallocated corporate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General unallocated income (expense) </w:t>
            </w:r>
            <w:r>
              <w:rPr>
                <w:rFonts w:ascii="Arial" w:hAnsi="Arial"/>
                <w:color w:val="000000"/>
                <w:sz w:val="13"/>
              </w:rPr>
              <w:t>(D)</w:t>
            </w: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Equity in earnings of affiliated companies, net of tax....................................</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Income (loss) from operations before income taxes and equity in</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earnings of affiliated companies...............................................................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benefit for income taxes (including tax certain items)............................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earnings of affiliated companies, net of tax.............................................</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noncontrolling interests, net of tax.......................</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Net income (loss) attributable to Cabot Corporation..................................</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earnings (loss) per share of common stock</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attributable to Cabot Corporation..........................................................................................................................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Adjusted earnings (loss) per share</w:t>
            </w:r>
            <w:r>
              <w:rPr>
                <w:rFonts w:ascii="Times New Roman" w:hAnsi="Times New Roman"/>
                <w:color w:val="000000"/>
                <w:sz w:val="20"/>
              </w:rPr>
              <w:t> </w:t>
            </w:r>
            <w:r>
              <w:rPr>
                <w:rFonts w:ascii="Arial" w:hAnsi="Arial"/>
                <w:b/>
                <w:color w:val="000000"/>
                <w:sz w:val="13"/>
              </w:rPr>
              <w:t>(E)</w:t>
            </w:r>
            <w:r>
              <w:rPr>
                <w:rFonts w:ascii="Arial" w:hAnsi="Arial"/>
                <w:b/>
                <w:color w:val="000000"/>
                <w:sz w:val="2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956" w:type="dxa"/>
        <w:jc w:val="left"/>
        <w:tblInd w:w="0" w:type="dxa"/>
        <w:tblLayout w:type="fixed"/>
        <w:tblCellMar>
          <w:top w:w="28" w:type="dxa"/>
          <w:left w:w="28" w:type="dxa"/>
          <w:bottom w:w="28" w:type="dxa"/>
          <w:right w:w="28" w:type="dxa"/>
        </w:tblCellMar>
      </w:tblPr>
      <w:tblGrid>
        <w:gridCol w:w="2168"/>
        <w:gridCol w:w="3246"/>
        <w:gridCol w:w="1967"/>
        <w:gridCol w:w="146"/>
        <w:gridCol w:w="481"/>
        <w:gridCol w:w="146"/>
        <w:gridCol w:w="146"/>
        <w:gridCol w:w="146"/>
        <w:gridCol w:w="481"/>
        <w:gridCol w:w="146"/>
        <w:gridCol w:w="146"/>
        <w:gridCol w:w="146"/>
        <w:gridCol w:w="481"/>
        <w:gridCol w:w="146"/>
        <w:gridCol w:w="146"/>
        <w:gridCol w:w="146"/>
        <w:gridCol w:w="481"/>
        <w:gridCol w:w="191"/>
      </w:tblGrid>
      <w:tr>
        <w:trPr/>
        <w:tc>
          <w:tcPr>
            <w:tcW w:w="2168"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(A)</w:t>
            </w:r>
          </w:p>
        </w:tc>
        <w:tc>
          <w:tcPr>
            <w:tcW w:w="5351"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Unallocated and other reflects external shipping and handling fees, the impact of unearned revenue, and discounting charges for certain Notes receivable.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(B)</w:t>
            </w:r>
          </w:p>
        </w:tc>
        <w:tc>
          <w:tcPr>
            <w:tcW w:w="5351"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Segment EBIT is a measure used by Cabot's Chief Operating Decision-Maker to assess segment performance and allocate resources. Segment EBIT includes Equity in earnings of affiliated companies, net of tax, Net income attributable to noncontrolling interests, net of tax, and discounting charges for certain Notes receivable.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(C)</w:t>
            </w:r>
          </w:p>
        </w:tc>
        <w:tc>
          <w:tcPr>
            <w:tcW w:w="5351"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Details of Certain items are presented in the Certain Items and Reconciliation of Adjusted EPS and Operating Tax Rate table.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(D)</w:t>
            </w:r>
          </w:p>
        </w:tc>
        <w:tc>
          <w:tcPr>
            <w:tcW w:w="5351"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General unallocated income (expense) consists of gains (losses) arising from foreign currency transactions, net of other foreign currency risk management activities, Interest and dividend income, the profit or loss related to the corporate adjustment for unearned revenue and unrealized holding gains (losses) for investments. This does not include items of income or expense from the items that are separately treated as Certain items.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(E)</w:t>
            </w:r>
          </w:p>
        </w:tc>
        <w:tc>
          <w:tcPr>
            <w:tcW w:w="5351"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EPS is a non-GAAP measure, and a reconciliation of Adjusted EPS to GAAP EPS is presented in the Certain Items and Reconciliation of Adjusted EPS and Operating Tax Rate table.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930" w:type="dxa"/>
        <w:jc w:val="left"/>
        <w:tblInd w:w="0" w:type="dxa"/>
        <w:tblLayout w:type="fixed"/>
        <w:tblCellMar>
          <w:top w:w="28" w:type="dxa"/>
          <w:left w:w="28" w:type="dxa"/>
          <w:bottom w:w="28" w:type="dxa"/>
          <w:right w:w="28" w:type="dxa"/>
        </w:tblCellMar>
      </w:tblPr>
      <w:tblGrid>
        <w:gridCol w:w="4776"/>
        <w:gridCol w:w="1815"/>
        <w:gridCol w:w="1390"/>
        <w:gridCol w:w="338"/>
        <w:gridCol w:w="1037"/>
        <w:gridCol w:w="166"/>
        <w:gridCol w:w="146"/>
        <w:gridCol w:w="258"/>
        <w:gridCol w:w="793"/>
        <w:gridCol w:w="211"/>
      </w:tblGrid>
      <w:tr>
        <w:trPr/>
        <w:tc>
          <w:tcPr>
            <w:tcW w:w="4776"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6" w:type="dxa"/>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jc w:val="left"/>
              <w:rPr/>
            </w:pPr>
            <w:r>
              <w:rPr/>
              <w:t> </w:t>
            </w:r>
          </w:p>
        </w:tc>
        <w:tc>
          <w:tcPr>
            <w:tcW w:w="1815"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390"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375"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051"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r>
      <w:tr>
        <w:trPr/>
        <w:tc>
          <w:tcPr>
            <w:tcW w:w="9356" w:type="dxa"/>
            <w:gridSpan w:val="5"/>
            <w:tcBorders>
              <w:left w:val="single" w:sz="4" w:space="0" w:color="000000"/>
            </w:tcBorders>
            <w:shd w:fill="C0C0C0"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CONSOLIDATED STATEMENTS OF FINANCIAL POSITION</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6" w:type="dxa"/>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jc w:val="left"/>
              <w:rPr/>
            </w:pPr>
            <w:r>
              <w:rPr/>
              <w:t> </w:t>
            </w:r>
          </w:p>
        </w:tc>
        <w:tc>
          <w:tcPr>
            <w:tcW w:w="1815"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375"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r>
      <w:tr>
        <w:trPr/>
        <w:tc>
          <w:tcPr>
            <w:tcW w:w="4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(unaudited)</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3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and cash equivalents....................................................................................................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Accounts and notes receivable, net of reserve for doubtful accounts of $5 and $5</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Inventories:</w:t>
            </w:r>
          </w:p>
        </w:tc>
        <w:tc>
          <w:tcPr>
            <w:tcW w:w="13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Raw materials.................................................................................................................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Finished goods................................................................................................................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inventories..........................................................................................................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Prepaid expenses and other current assets.............................................................................</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current assets...............................................................................................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plant and equipment....................................................................................................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Depreciation</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Net property, plant and equipment.......................................................................................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affiliates..........................................................................................................................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taxes...............................................................................................................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356" w:type="dxa"/>
        <w:jc w:val="left"/>
        <w:tblInd w:w="0" w:type="dxa"/>
        <w:tblLayout w:type="fixed"/>
        <w:tblCellMar>
          <w:top w:w="28" w:type="dxa"/>
          <w:left w:w="28" w:type="dxa"/>
          <w:bottom w:w="28" w:type="dxa"/>
          <w:right w:w="28" w:type="dxa"/>
        </w:tblCellMar>
      </w:tblPr>
      <w:tblGrid>
        <w:gridCol w:w="3097"/>
        <w:gridCol w:w="2508"/>
        <w:gridCol w:w="1836"/>
        <w:gridCol w:w="354"/>
        <w:gridCol w:w="987"/>
        <w:gridCol w:w="166"/>
        <w:gridCol w:w="146"/>
        <w:gridCol w:w="278"/>
        <w:gridCol w:w="773"/>
        <w:gridCol w:w="211"/>
      </w:tblGrid>
      <w:tr>
        <w:trPr/>
        <w:tc>
          <w:tcPr>
            <w:tcW w:w="3097"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7" w:type="dxa"/>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jc w:val="left"/>
              <w:rPr/>
            </w:pPr>
            <w:r>
              <w:rPr/>
              <w:t> </w:t>
            </w:r>
          </w:p>
        </w:tc>
        <w:tc>
          <w:tcPr>
            <w:tcW w:w="2508"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83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341"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051"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r>
      <w:tr>
        <w:trPr/>
        <w:tc>
          <w:tcPr>
            <w:tcW w:w="8782" w:type="dxa"/>
            <w:gridSpan w:val="5"/>
            <w:tcBorders>
              <w:left w:val="single" w:sz="4" w:space="0" w:color="000000"/>
            </w:tcBorders>
            <w:shd w:fill="C0C0C0"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CONSOLIDATED STATEMENTS OF FINANCIAL POSITION</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7" w:type="dxa"/>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jc w:val="left"/>
              <w:rPr/>
            </w:pPr>
            <w:r>
              <w:rPr/>
              <w:t> </w:t>
            </w:r>
          </w:p>
        </w:tc>
        <w:tc>
          <w:tcPr>
            <w:tcW w:w="2508"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83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341"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r>
      <w:tr>
        <w:trPr/>
        <w:tc>
          <w:tcPr>
            <w:tcW w:w="3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4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except share and per share amounts (unaudited)</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Short-term borrowings.................................................................................................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Accounts payable and accrued liabilities................................................................................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Income taxes payable.................................................................................................</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Current portion of long-term debt...................................................................................</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current liabilities.............................................................................................</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taxes......................................................................................................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Preferred stock:</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Authorized: 2,000,000 shares of $1 par value</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Issued and Outstanding: None and none</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Common stock:</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 xml:space="preserve">Authorized: 200,000,000 shares of $1 par value </w:t>
              <w:br/>
              <w:t>          Issued: 51,745,475 and 52,962,353 shares</w:t>
              <w:br/>
              <w:t>          Outstanding: 51,631,007 and 52,842,481 shares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Less cost of 114,468 and 119,872 shares of common treasury stock</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Retained earnings............................................................................................................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other comprehensive income (loss)................................................................</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Cabot Corporation stockholders' equity.................................................................</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Noncontrolling interests...............................................................................................</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stockholders' equity..................................................................................</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1473" w:type="dxa"/>
        <w:jc w:val="left"/>
        <w:tblInd w:w="0" w:type="dxa"/>
        <w:tblLayout w:type="fixed"/>
        <w:tblCellMar>
          <w:top w:w="28" w:type="dxa"/>
          <w:left w:w="28" w:type="dxa"/>
          <w:bottom w:w="28" w:type="dxa"/>
          <w:right w:w="28" w:type="dxa"/>
        </w:tblCellMar>
      </w:tblPr>
      <w:tblGrid>
        <w:gridCol w:w="2590"/>
        <w:gridCol w:w="1240"/>
        <w:gridCol w:w="1241"/>
        <w:gridCol w:w="1057"/>
        <w:gridCol w:w="526"/>
        <w:gridCol w:w="526"/>
        <w:gridCol w:w="571"/>
        <w:gridCol w:w="691"/>
        <w:gridCol w:w="146"/>
        <w:gridCol w:w="526"/>
        <w:gridCol w:w="526"/>
        <w:gridCol w:w="526"/>
        <w:gridCol w:w="571"/>
        <w:gridCol w:w="736"/>
      </w:tblGrid>
      <w:tr>
        <w:trPr/>
        <w:tc>
          <w:tcPr>
            <w:tcW w:w="259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590" w:type="dxa"/>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jc w:val="left"/>
              <w:rPr/>
            </w:pPr>
            <w:r>
              <w:rPr/>
              <w:t> </w:t>
            </w:r>
          </w:p>
        </w:tc>
        <w:tc>
          <w:tcPr>
            <w:tcW w:w="1240"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24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057"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right w:val="single" w:sz="4" w:space="0" w:color="000000"/>
            </w:tcBorders>
            <w:shd w:fill="C0C0C0" w:val="clear"/>
            <w:tcMar>
              <w:left w:w="0" w:type="dxa"/>
              <w:bottom w:w="0" w:type="dxa"/>
            </w:tcMar>
            <w:vAlign w:val="center"/>
          </w:tcPr>
          <w:p>
            <w:pPr>
              <w:pStyle w:val="TableContents"/>
              <w:bidi w:val="0"/>
              <w:spacing w:before="0" w:after="283"/>
              <w:jc w:val="left"/>
              <w:rPr/>
            </w:pPr>
            <w:r>
              <w:rPr/>
              <w:t> </w:t>
            </w:r>
          </w:p>
        </w:tc>
      </w:tr>
      <w:tr>
        <w:trPr/>
        <w:tc>
          <w:tcPr>
            <w:tcW w:w="6128" w:type="dxa"/>
            <w:gridSpan w:val="4"/>
            <w:tcBorders>
              <w:left w:val="single" w:sz="4" w:space="0" w:color="000000"/>
            </w:tcBorders>
            <w:shd w:fill="C0C0C0"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QUARTERLY RESULTS BY SEGMENT</w:t>
            </w:r>
          </w:p>
        </w:tc>
        <w:tc>
          <w:tcPr>
            <w:tcW w:w="52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right w:val="single" w:sz="4" w:space="0" w:color="000000"/>
            </w:tcBorders>
            <w:shd w:fill="C0C0C0" w:val="clear"/>
            <w:tcMar>
              <w:top w:w="0" w:type="dxa"/>
              <w:left w:w="0" w:type="dxa"/>
              <w:bottom w:w="0" w:type="dxa"/>
            </w:tcMar>
            <w:vAlign w:val="center"/>
          </w:tcPr>
          <w:p>
            <w:pPr>
              <w:pStyle w:val="TableContents"/>
              <w:bidi w:val="0"/>
              <w:spacing w:before="0" w:after="283"/>
              <w:jc w:val="left"/>
              <w:rPr/>
            </w:pPr>
            <w:r>
              <w:rPr/>
              <w:t> </w:t>
            </w:r>
          </w:p>
        </w:tc>
      </w:tr>
      <w:tr>
        <w:trPr/>
        <w:tc>
          <w:tcPr>
            <w:tcW w:w="2590" w:type="dxa"/>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C0C0C0" w:val="clear"/>
            <w:tcMar>
              <w:top w:w="0" w:type="dxa"/>
              <w:left w:w="0" w:type="dxa"/>
            </w:tcMar>
            <w:vAlign w:val="center"/>
          </w:tcPr>
          <w:p>
            <w:pPr>
              <w:pStyle w:val="TableContents"/>
              <w:bidi w:val="0"/>
              <w:spacing w:before="0" w:after="283"/>
              <w:jc w:val="left"/>
              <w:rPr/>
            </w:pPr>
            <w:r>
              <w:rPr/>
              <w:t> </w:t>
            </w:r>
          </w:p>
        </w:tc>
      </w:tr>
      <w:tr>
        <w:trPr/>
        <w:tc>
          <w:tcPr>
            <w:tcW w:w="2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Fiscal 2026</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except per share amounts (unaudited)</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FY</w:t>
            </w:r>
          </w:p>
        </w:tc>
      </w:tr>
      <w:tr>
        <w:trPr/>
        <w:tc>
          <w:tcPr>
            <w:tcW w:w="2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Sales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Reinforcement Materials.......................................................................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$599</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$1,663</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 Chemicals........................................................................</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979</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Segment sales................................................................................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2,642</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Unallocated and other</w:t>
            </w:r>
            <w:r>
              <w:rPr>
                <w:rFonts w:ascii="Times New Roman" w:hAnsi="Times New Roman"/>
                <w:color w:val="000000"/>
                <w:sz w:val="20"/>
              </w:rPr>
              <w:t> </w:t>
            </w:r>
            <w:r>
              <w:rPr>
                <w:rFonts w:ascii="Arial" w:hAnsi="Arial"/>
                <w:color w:val="000000"/>
                <w:sz w:val="13"/>
              </w:rPr>
              <w:t>(A)</w:t>
            </w:r>
            <w:r>
              <w:rPr>
                <w:rFonts w:ascii="Arial" w:hAnsi="Arial"/>
                <w:color w:val="000000"/>
                <w:sz w:val="20"/>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 and other operating revenues..................................................</w:t>
            </w:r>
          </w:p>
        </w:tc>
        <w:tc>
          <w:tcPr>
            <w:tcW w:w="105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$955</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$923</w:t>
            </w:r>
          </w:p>
        </w:tc>
        <w:tc>
          <w:tcPr>
            <w:tcW w:w="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$899</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$849</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$982</w:t>
            </w:r>
          </w:p>
        </w:tc>
        <w:tc>
          <w:tcPr>
            <w:tcW w:w="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$2,735</w:t>
            </w:r>
          </w:p>
        </w:tc>
      </w:tr>
      <w:tr>
        <w:trPr/>
        <w:tc>
          <w:tcPr>
            <w:tcW w:w="2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 xml:space="preserve">Segment Earnings Before Interest and Taxes </w:t>
            </w:r>
            <w:r>
              <w:rPr>
                <w:rFonts w:ascii="Arial" w:hAnsi="Arial"/>
                <w:b/>
                <w:color w:val="000000"/>
                <w:sz w:val="13"/>
              </w:rPr>
              <w:t>(B)</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Reinforcement Materials.......................................................................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 Chemicals........................................................................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Unallocated and Other</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Certain items</w:t>
            </w:r>
            <w:r>
              <w:rPr>
                <w:rFonts w:ascii="Times New Roman" w:hAnsi="Times New Roman"/>
                <w:color w:val="000000"/>
                <w:sz w:val="20"/>
              </w:rPr>
              <w:t> </w:t>
            </w:r>
            <w:r>
              <w:rPr>
                <w:rFonts w:ascii="Arial" w:hAnsi="Arial"/>
                <w:color w:val="000000"/>
                <w:sz w:val="13"/>
              </w:rPr>
              <w:t>(C)</w:t>
            </w:r>
            <w:r>
              <w:rPr>
                <w:rFonts w:ascii="Arial" w:hAnsi="Arial"/>
                <w:color w:val="000000"/>
                <w:sz w:val="20"/>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Unallocated corporate costs..................................................................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General unallocated income (expense) </w:t>
            </w:r>
            <w:r>
              <w:rPr>
                <w:rFonts w:ascii="Arial" w:hAnsi="Arial"/>
                <w:color w:val="000000"/>
                <w:sz w:val="13"/>
              </w:rPr>
              <w:t>(D)</w:t>
            </w:r>
            <w:r>
              <w:rPr>
                <w:rFonts w:ascii="Arial" w:hAnsi="Arial"/>
                <w:color w:val="000000"/>
                <w:sz w:val="20"/>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Equity in earnings of affiliated companies, net of tax.......................</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operations before income taxes and</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equity in earnings of affiliated companies..........................................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benefit for income taxes (including tax certain items)...............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earnings of affiliated companies, net of tax................................</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Net income (loss)..........................................................................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noncontrolling interests, net of tax..........</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Net income (loss) attributable to Cabot Corporation.....................</w:t>
            </w:r>
          </w:p>
        </w:tc>
        <w:tc>
          <w:tcPr>
            <w:tcW w:w="105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earnings (loss) per share of common stock</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3192" w:type="dxa"/>
        <w:jc w:val="left"/>
        <w:tblInd w:w="0" w:type="dxa"/>
        <w:tblLayout w:type="fixed"/>
        <w:tblCellMar>
          <w:top w:w="28" w:type="dxa"/>
          <w:left w:w="28" w:type="dxa"/>
          <w:bottom w:w="28" w:type="dxa"/>
          <w:right w:w="28" w:type="dxa"/>
        </w:tblCellMar>
      </w:tblPr>
      <w:tblGrid>
        <w:gridCol w:w="2168"/>
        <w:gridCol w:w="3246"/>
        <w:gridCol w:w="1967"/>
        <w:gridCol w:w="586"/>
        <w:gridCol w:w="586"/>
        <w:gridCol w:w="586"/>
        <w:gridCol w:w="586"/>
        <w:gridCol w:w="586"/>
        <w:gridCol w:w="146"/>
        <w:gridCol w:w="586"/>
        <w:gridCol w:w="586"/>
        <w:gridCol w:w="586"/>
        <w:gridCol w:w="346"/>
        <w:gridCol w:w="631"/>
      </w:tblGrid>
      <w:tr>
        <w:trPr/>
        <w:tc>
          <w:tcPr>
            <w:tcW w:w="2168"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attributable to Cabot Corporation..........................................................................................................................</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$0.79</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Adjusted earnings (loss) per share</w:t>
            </w:r>
            <w:r>
              <w:rPr>
                <w:rFonts w:ascii="Times New Roman" w:hAnsi="Times New Roman"/>
                <w:color w:val="000000"/>
                <w:sz w:val="20"/>
              </w:rPr>
              <w:t> </w:t>
            </w:r>
            <w:r>
              <w:rPr>
                <w:rFonts w:ascii="Arial" w:hAnsi="Arial"/>
                <w:b/>
                <w:color w:val="000000"/>
                <w:sz w:val="13"/>
              </w:rPr>
              <w:t>(E)</w:t>
            </w:r>
            <w:r>
              <w:rPr>
                <w:rFonts w:ascii="Arial" w:hAnsi="Arial"/>
                <w:b/>
                <w:color w:val="000000"/>
                <w:sz w:val="20"/>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weighted average common shares outstanding..........................................................................................................................</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53.4</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52.4</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(A)</w:t>
            </w:r>
          </w:p>
        </w:tc>
        <w:tc>
          <w:tcPr>
            <w:tcW w:w="7778"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Unallocated and other reflects external shipping and handling fees, the impact of unearned revenue, and discounting charges for certain Notes receivable.</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(B)</w:t>
            </w:r>
          </w:p>
        </w:tc>
        <w:tc>
          <w:tcPr>
            <w:tcW w:w="7778"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Segment EBIT is a measure used by Cabot's Chief Operating Decision-Maker to assess segment performance and allocate resources. Segment EBIT includes Equity in earnings of affiliated companies, net of tax, Net income attributable to noncontrolling interests, net of tax, and discounting charges for certain Notes receivable.</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(C)</w:t>
            </w:r>
          </w:p>
        </w:tc>
        <w:tc>
          <w:tcPr>
            <w:tcW w:w="7778"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Details of certain items are presented in the Certain Items and Reconciliation of Adjusted EPS and Operating Tax Rate table.</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(D)</w:t>
            </w:r>
          </w:p>
        </w:tc>
        <w:tc>
          <w:tcPr>
            <w:tcW w:w="7778"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General unallocated income (expense) consists of gains (losses) arising from foreign currency transactions, net of other foreign currency risk management activities, Interest and dividend income, the profit or loss related to the corporate adjustment for unearned revenue and unrealized holding gains (losses) for investments. This does not include items of income or expense from the items that are separately treated as Certain items.</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(E)</w:t>
            </w:r>
          </w:p>
        </w:tc>
        <w:tc>
          <w:tcPr>
            <w:tcW w:w="7778"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EPS is a non-GAAP measure, and a reconciliation of Adjusted EPS to GAAP EPS is presented in the Certain Items and Reconciliation of Adjusted EPS and Operating Tax Rate table.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468" w:type="dxa"/>
        <w:jc w:val="left"/>
        <w:tblInd w:w="0" w:type="dxa"/>
        <w:tblLayout w:type="fixed"/>
        <w:tblCellMar>
          <w:top w:w="28" w:type="dxa"/>
          <w:left w:w="28" w:type="dxa"/>
          <w:bottom w:w="28" w:type="dxa"/>
          <w:right w:w="28" w:type="dxa"/>
        </w:tblCellMar>
      </w:tblPr>
      <w:tblGrid>
        <w:gridCol w:w="4740"/>
        <w:gridCol w:w="930"/>
        <w:gridCol w:w="931"/>
        <w:gridCol w:w="212"/>
        <w:gridCol w:w="423"/>
        <w:gridCol w:w="166"/>
        <w:gridCol w:w="146"/>
        <w:gridCol w:w="212"/>
        <w:gridCol w:w="489"/>
        <w:gridCol w:w="166"/>
        <w:gridCol w:w="146"/>
        <w:gridCol w:w="211"/>
        <w:gridCol w:w="481"/>
        <w:gridCol w:w="166"/>
        <w:gridCol w:w="146"/>
        <w:gridCol w:w="211"/>
        <w:gridCol w:w="481"/>
        <w:gridCol w:w="211"/>
      </w:tblGrid>
      <w:tr>
        <w:trPr/>
        <w:tc>
          <w:tcPr>
            <w:tcW w:w="474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0" w:type="dxa"/>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jc w:val="left"/>
              <w:rPr/>
            </w:pPr>
            <w:r>
              <w:rPr/>
              <w:t> </w:t>
            </w:r>
          </w:p>
        </w:tc>
        <w:tc>
          <w:tcPr>
            <w:tcW w:w="930"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35"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701"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r>
      <w:tr>
        <w:trPr/>
        <w:tc>
          <w:tcPr>
            <w:tcW w:w="8249" w:type="dxa"/>
            <w:gridSpan w:val="9"/>
            <w:tcBorders>
              <w:left w:val="single" w:sz="4" w:space="0" w:color="000000"/>
            </w:tcBorders>
            <w:shd w:fill="C0C0C0"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CONDENSED CONSOLIDATED STATEMENTS OF CASH FLOWS</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0" w:type="dxa"/>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35"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701"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r>
      <w:tr>
        <w:trPr/>
        <w:tc>
          <w:tcPr>
            <w:tcW w:w="4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Periods ended June 30</w:t>
            </w:r>
          </w:p>
        </w:tc>
        <w:tc>
          <w:tcPr>
            <w:tcW w:w="16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Nine Months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(unaudited)</w:t>
            </w:r>
          </w:p>
        </w:tc>
        <w:tc>
          <w:tcPr>
            <w:tcW w:w="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6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Net income (loss)....................................................................................................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Adjustments to reconcile net income to cash provided by operating activities:</w:t>
            </w:r>
          </w:p>
        </w:tc>
        <w:tc>
          <w:tcPr>
            <w:tcW w:w="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Depreciation and amortization................................................................................</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non-cash charges (gains), net.......................................................................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Cash dividends received from equity affiliates............................................................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Changes in assets and liabilities:</w:t>
            </w:r>
          </w:p>
        </w:tc>
        <w:tc>
          <w:tcPr>
            <w:tcW w:w="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 xml:space="preserve">Changes in net working capital </w:t>
            </w:r>
            <w:r>
              <w:rPr>
                <w:rFonts w:ascii="Arial" w:hAnsi="Arial"/>
                <w:color w:val="000000"/>
                <w:sz w:val="13"/>
              </w:rPr>
              <w:t>(A)</w:t>
            </w:r>
            <w:r>
              <w:rPr>
                <w:rFonts w:ascii="Arial" w:hAnsi="Arial"/>
                <w:color w:val="000000"/>
                <w:sz w:val="2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Changes in other assets and liabilities, net.............................................................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provided by (used in) operating activities.................................................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Additions to property, plant and equipment.................................................................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Acquisition of business, net of cash acquired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Asset acquisition.....................................................................................................</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investing activities, net....................................................................................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provided by (used in) investing activities..................................................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Change in debt, net..................................................................................................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dividends paid to common 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financing activities, net....................................................................................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provided by (used in) financing activities.................................................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 on cash........................................................................</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 (decrease) in cash, cash equivalents and restricted cash....................................</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beginning of period.....................................</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276"/>
        <w:gridCol w:w="1795"/>
        <w:gridCol w:w="1904"/>
        <w:gridCol w:w="312"/>
        <w:gridCol w:w="623"/>
        <w:gridCol w:w="215"/>
        <w:gridCol w:w="215"/>
        <w:gridCol w:w="312"/>
        <w:gridCol w:w="623"/>
        <w:gridCol w:w="215"/>
        <w:gridCol w:w="215"/>
        <w:gridCol w:w="312"/>
        <w:gridCol w:w="623"/>
        <w:gridCol w:w="215"/>
        <w:gridCol w:w="215"/>
        <w:gridCol w:w="312"/>
        <w:gridCol w:w="623"/>
        <w:gridCol w:w="200"/>
      </w:tblGrid>
      <w:tr>
        <w:trPr/>
        <w:tc>
          <w:tcPr>
            <w:tcW w:w="1276"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Cash, cash equivalents and restricted cash at end of period </w:t>
            </w:r>
            <w:r>
              <w:rPr>
                <w:rFonts w:ascii="Arial" w:hAnsi="Arial"/>
                <w:color w:val="000000"/>
                <w:sz w:val="13"/>
              </w:rPr>
              <w:t>(B)</w:t>
            </w:r>
            <w:r>
              <w:rPr>
                <w:rFonts w:ascii="Arial" w:hAnsi="Arial"/>
                <w:color w:val="000000"/>
                <w:sz w:val="20"/>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251</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251</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w:t>
            </w:r>
          </w:p>
        </w:tc>
        <w:tc>
          <w:tcPr>
            <w:tcW w:w="2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(A)</w:t>
            </w:r>
          </w:p>
        </w:tc>
        <w:tc>
          <w:tcPr>
            <w:tcW w:w="6934"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Includes Accounts and notes receivable, Inventories, and Accounts payable and accrued liabilities.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(B)</w:t>
            </w:r>
          </w:p>
        </w:tc>
        <w:tc>
          <w:tcPr>
            <w:tcW w:w="6934"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 was $1 million as of June 30, 2026. There was no restricted cash as of June 30, 2025.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227"/>
        <w:gridCol w:w="206"/>
        <w:gridCol w:w="3393"/>
        <w:gridCol w:w="168"/>
        <w:gridCol w:w="2236"/>
        <w:gridCol w:w="695"/>
        <w:gridCol w:w="2236"/>
        <w:gridCol w:w="695"/>
        <w:gridCol w:w="150"/>
        <w:gridCol w:w="199"/>
      </w:tblGrid>
      <w:tr>
        <w:trPr/>
        <w:tc>
          <w:tcPr>
            <w:tcW w:w="22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9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27" w:type="dxa"/>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jc w:val="left"/>
              <w:rPr/>
            </w:pPr>
            <w:r>
              <w:rPr/>
              <w:t> </w:t>
            </w:r>
          </w:p>
        </w:tc>
        <w:tc>
          <w:tcPr>
            <w:tcW w:w="20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3393"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8"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223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5"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223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5"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50"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99" w:type="dxa"/>
            <w:tcBorders>
              <w:top w:val="single" w:sz="4" w:space="0" w:color="000000"/>
              <w:right w:val="single" w:sz="4" w:space="0" w:color="000000"/>
            </w:tcBorders>
            <w:shd w:fill="C0C0C0" w:val="clear"/>
            <w:tcMar>
              <w:left w:w="0" w:type="dxa"/>
              <w:bottom w:w="0" w:type="dxa"/>
            </w:tcMar>
            <w:vAlign w:val="center"/>
          </w:tcPr>
          <w:p>
            <w:pPr>
              <w:pStyle w:val="TableContents"/>
              <w:bidi w:val="0"/>
              <w:spacing w:before="0" w:after="283"/>
              <w:jc w:val="left"/>
              <w:rPr/>
            </w:pPr>
            <w:r>
              <w:rPr/>
              <w:t> </w:t>
            </w:r>
          </w:p>
        </w:tc>
      </w:tr>
      <w:tr>
        <w:trPr/>
        <w:tc>
          <w:tcPr>
            <w:tcW w:w="10205" w:type="dxa"/>
            <w:gridSpan w:val="10"/>
            <w:tcBorders>
              <w:left w:val="single" w:sz="4" w:space="0" w:color="000000"/>
              <w:right w:val="single" w:sz="4" w:space="0" w:color="000000"/>
            </w:tcBorders>
            <w:shd w:fill="C0C0C0" w:val="clear"/>
            <w:tcMar>
              <w:top w:w="0" w:type="dxa"/>
              <w:bottom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CERTAIN ITEMS AND RECONCILIATION OF ADJUSTED EPS AND OPERATING TAX RATE</w:t>
            </w:r>
          </w:p>
        </w:tc>
      </w:tr>
      <w:tr>
        <w:trPr/>
        <w:tc>
          <w:tcPr>
            <w:tcW w:w="227" w:type="dxa"/>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3393"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right w:val="single" w:sz="4" w:space="0" w:color="000000"/>
            </w:tcBorders>
            <w:shd w:fill="C0C0C0" w:val="clear"/>
            <w:tcMar>
              <w:top w:w="0" w:type="dxa"/>
              <w:left w:w="0" w:type="dxa"/>
            </w:tcMar>
            <w:vAlign w:val="center"/>
          </w:tcPr>
          <w:p>
            <w:pPr>
              <w:pStyle w:val="TableContents"/>
              <w:bidi w:val="0"/>
              <w:spacing w:before="0" w:after="283"/>
              <w:jc w:val="left"/>
              <w:rPr/>
            </w:pPr>
            <w:r>
              <w:rPr/>
              <w:t> </w:t>
            </w:r>
          </w:p>
        </w:tc>
      </w:tr>
      <w:tr>
        <w:trPr/>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gridSpan w:val="3"/>
            <w:tcBorders>
              <w:left w:val="single" w:sz="4" w:space="0" w:color="000000"/>
              <w:bottom w:val="single" w:sz="4" w:space="0" w:color="000000"/>
            </w:tcBorders>
            <w:shd w:fill="BFBFB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TABLE 1: DETAIL OF CERTAIN ITEMS</w:t>
            </w:r>
          </w:p>
        </w:tc>
        <w:tc>
          <w:tcPr>
            <w:tcW w:w="168"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right w:val="single" w:sz="4"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Periods ended June 30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w:t>
            </w:r>
          </w:p>
        </w:tc>
        <w:tc>
          <w:tcPr>
            <w:tcW w:w="2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Nine Months</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except per share amounts (unaudited)</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Certain items before and after income taxes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Global restructuring activities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benefit plan settlement and other charges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Legal and environmental matters and reserves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Acquisition and integration-related charges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certain items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certain items, pre-tax</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Non-GAAP tax adjustments</w:t>
            </w:r>
            <w:r>
              <w:rPr>
                <w:rFonts w:ascii="Arial" w:hAnsi="Arial"/>
                <w:color w:val="000000"/>
                <w:sz w:val="13"/>
              </w:rPr>
              <w:t>(A)</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certain items after tax</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$(108)</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certain items after tax per share</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$(1.55)</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$(0.04)</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4" w:type="dxa"/>
            <w:gridSpan w:val="4"/>
            <w:tcBorders>
              <w:left w:val="single" w:sz="4" w:space="0" w:color="000000"/>
              <w:bottom w:val="single" w:sz="4" w:space="0" w:color="000000"/>
            </w:tcBorders>
            <w:shd w:fill="BFBFB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TABLE 2: CERTAIN ITEMS STATEMENT OF OPERATIONS LINE ITEM</w:t>
            </w:r>
          </w:p>
        </w:tc>
        <w:tc>
          <w:tcPr>
            <w:tcW w:w="223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right w:val="single" w:sz="4"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Periods ended June 30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w:t>
            </w:r>
          </w:p>
        </w:tc>
        <w:tc>
          <w:tcPr>
            <w:tcW w:w="2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Nine Months</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Pre-Tax (unaudited)</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u w:val="single"/>
              </w:rPr>
              <w:t xml:space="preserve">Statement of Operations Line Item </w:t>
            </w:r>
            <w:r>
              <w:rPr>
                <w:rFonts w:ascii="Arial" w:hAnsi="Arial"/>
                <w:color w:val="000000"/>
                <w:sz w:val="13"/>
                <w:u w:val="single"/>
              </w:rPr>
              <w:t>(B)</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and administrative expenses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technical expenses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certain items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0" w:type="dxa"/>
            <w:gridSpan w:val="5"/>
            <w:tcBorders>
              <w:left w:val="single" w:sz="4" w:space="0" w:color="000000"/>
              <w:bottom w:val="single" w:sz="4" w:space="0" w:color="000000"/>
            </w:tcBorders>
            <w:shd w:fill="BFBFB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TABLE 3: RECONCILIATION OF EFFECTIVE TAX RATE TO OPERATING TAX RATE</w:t>
            </w:r>
          </w:p>
        </w:tc>
        <w:tc>
          <w:tcPr>
            <w:tcW w:w="695"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right w:val="single" w:sz="4"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Three months ended June 30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(unaudited)</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(Provision) / Benefit for Income Taxes</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Rate</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(Provision) / Benefit for Income Taxes</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Rate</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712"/>
        <w:gridCol w:w="597"/>
        <w:gridCol w:w="814"/>
        <w:gridCol w:w="206"/>
        <w:gridCol w:w="2636"/>
        <w:gridCol w:w="887"/>
        <w:gridCol w:w="2316"/>
        <w:gridCol w:w="850"/>
        <w:gridCol w:w="192"/>
        <w:gridCol w:w="995"/>
      </w:tblGrid>
      <w:tr>
        <w:trPr/>
        <w:tc>
          <w:tcPr>
            <w:tcW w:w="71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Effective Tax Rate</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88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w:t>
            </w:r>
          </w:p>
        </w:tc>
        <w:tc>
          <w:tcPr>
            <w:tcW w:w="2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8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Less: Non-GAAP tax adjustments</w:t>
            </w:r>
            <w:r>
              <w:rPr>
                <w:rFonts w:ascii="Arial" w:hAnsi="Arial"/>
                <w:color w:val="000000"/>
                <w:sz w:val="13"/>
              </w:rPr>
              <w:t>(A)</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Operating tax rate</w:t>
            </w:r>
            <w:r>
              <w:rPr>
                <w:rFonts w:ascii="Times New Roman" w:hAnsi="Times New Roman"/>
                <w:color w:val="000000"/>
                <w:sz w:val="20"/>
              </w:rPr>
              <w:t> </w:t>
            </w:r>
            <w:r>
              <w:rPr>
                <w:rFonts w:ascii="Arial" w:hAnsi="Arial"/>
                <w:color w:val="000000"/>
                <w:sz w:val="13"/>
              </w:rPr>
              <w:t>(C) (D)</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Nine months ended June 30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3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(unaudited)</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(Provision) / Benefit for Income Taxes</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Rate</w:t>
            </w:r>
          </w:p>
        </w:tc>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(Provision) / Benefit for Income Taxes</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Rate</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Effective Tax Rate</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w:t>
            </w:r>
          </w:p>
        </w:tc>
        <w:tc>
          <w:tcPr>
            <w:tcW w:w="23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Less: Non-GAAP tax adjustments</w:t>
            </w:r>
            <w:r>
              <w:rPr>
                <w:rFonts w:ascii="Arial" w:hAnsi="Arial"/>
                <w:color w:val="000000"/>
                <w:sz w:val="13"/>
              </w:rPr>
              <w:t>(A)</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Operating tax rate</w:t>
            </w:r>
            <w:r>
              <w:rPr>
                <w:rFonts w:ascii="Times New Roman" w:hAnsi="Times New Roman"/>
                <w:color w:val="000000"/>
                <w:sz w:val="20"/>
              </w:rPr>
              <w:t> </w:t>
            </w:r>
            <w:r>
              <w:rPr>
                <w:rFonts w:ascii="Arial" w:hAnsi="Arial"/>
                <w:color w:val="000000"/>
                <w:sz w:val="13"/>
              </w:rPr>
              <w:t>(C) (D)</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2" w:type="dxa"/>
            <w:gridSpan w:val="6"/>
            <w:tcBorders>
              <w:left w:val="single" w:sz="4" w:space="0" w:color="000000"/>
              <w:bottom w:val="single" w:sz="4" w:space="0" w:color="000000"/>
            </w:tcBorders>
            <w:shd w:fill="BFBFB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TABLE 4: RECONCILIATION OF ADJUSTED EPS BY QUARTER FOR FISCAL 2026 and FISCAL 2025</w:t>
            </w:r>
          </w:p>
        </w:tc>
        <w:tc>
          <w:tcPr>
            <w:tcW w:w="231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right w:val="single" w:sz="4"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xml:space="preserve">Fiscal 2026 </w:t>
            </w:r>
            <w:r>
              <w:rPr>
                <w:rFonts w:ascii="Arial" w:hAnsi="Arial"/>
                <w:b/>
                <w:color w:val="000000"/>
                <w:sz w:val="13"/>
              </w:rPr>
              <w:t>(E)</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Periods ended (unaudited)</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2026</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Reconciliation of Adjusted EPS to GAAP EPS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per share attributable to Cabot Corporation</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23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$0.12</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Certain items after tax per share</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(0.16)</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(0.34)</w:t>
            </w:r>
          </w:p>
        </w:tc>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earnings (loss) per share</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23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xml:space="preserve">Fiscal 2025 </w:t>
            </w:r>
            <w:r>
              <w:rPr>
                <w:rFonts w:ascii="Arial" w:hAnsi="Arial"/>
                <w:b/>
                <w:color w:val="000000"/>
                <w:sz w:val="13"/>
              </w:rPr>
              <w:t>(E)</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Periods ended (unaudited)</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2025</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Reconciliation of Adjusted EPS to GAAP EPS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per share attributable to Cabot Corporation</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23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Certain items after tax per share</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(0.09)</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(0.21)</w:t>
            </w:r>
          </w:p>
        </w:tc>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(0.04)</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(0.91)</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earnings (loss) per share</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23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(A)</w:t>
            </w:r>
          </w:p>
        </w:tc>
        <w:tc>
          <w:tcPr>
            <w:tcW w:w="8896"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tax adjustments are made to arrive at the operating tax provision. It includes the income tax (expense) benefit on certain items, discrete tax items, and, on a quarterly basis the timing of losses in certain jurisdictions. The income tax (expense) benefit on certain items is determined using the applicable rates in the taxing jurisdictions in which the certain items occurred and includes both current and deferred income tax (expense) benefit based on the nature of the certain items. Discrete tax items include, but are not limited to, changes in valuation allowance, uncertain tax positions, and other tax items, such as the tax impact of legislative changes and tax accruals on historic earnings due to changes in indefinite reinvestment assertions.</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(B)</w:t>
            </w:r>
          </w:p>
        </w:tc>
        <w:tc>
          <w:tcPr>
            <w:tcW w:w="8896"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This table indicates the line items where certain items are recorded in the Consolidated Statements of Operations.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88"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(C)</w:t>
            </w:r>
          </w:p>
        </w:tc>
        <w:tc>
          <w:tcPr>
            <w:tcW w:w="97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The operating tax rate is calculated based upon management's forecast of the annual operating tax rate for the fiscal year applied to adjusted pre-tax earnings. The operating tax rate excludes income tax (expense) benefit on certain items, discrete tax items and, on a quarterly basis the timing of losses in certain jurisdictions.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(D)</w:t>
            </w:r>
          </w:p>
        </w:tc>
        <w:tc>
          <w:tcPr>
            <w:tcW w:w="97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Our operating tax rate for fiscal 2026 is expected to be in the range of 28% to 30%.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(E)</w:t>
            </w:r>
          </w:p>
        </w:tc>
        <w:tc>
          <w:tcPr>
            <w:tcW w:w="97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 share amounts are calculated after tax.</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846"/>
        <w:gridCol w:w="1923"/>
        <w:gridCol w:w="1230"/>
        <w:gridCol w:w="1604"/>
        <w:gridCol w:w="1608"/>
        <w:gridCol w:w="633"/>
        <w:gridCol w:w="647"/>
        <w:gridCol w:w="714"/>
      </w:tblGrid>
      <w:tr>
        <w:trPr/>
        <w:tc>
          <w:tcPr>
            <w:tcW w:w="1846"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846" w:type="dxa"/>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pPr>
            <w:r>
              <w:rPr/>
              <w:t> </w:t>
            </w:r>
          </w:p>
        </w:tc>
        <w:tc>
          <w:tcPr>
            <w:tcW w:w="1923" w:type="dxa"/>
            <w:tcBorders>
              <w:top w:val="single" w:sz="4" w:space="0" w:color="000000"/>
            </w:tcBorders>
            <w:shd w:fill="BFBFBF" w:val="clear"/>
            <w:tcMar>
              <w:left w:w="0" w:type="dxa"/>
              <w:bottom w:w="0" w:type="dxa"/>
              <w:right w:w="0" w:type="dxa"/>
            </w:tcMar>
            <w:vAlign w:val="center"/>
          </w:tcPr>
          <w:p>
            <w:pPr>
              <w:pStyle w:val="TableContents"/>
              <w:bidi w:val="0"/>
              <w:spacing w:before="0" w:after="283"/>
              <w:jc w:val="left"/>
              <w:rPr/>
            </w:pPr>
            <w:r>
              <w:rPr/>
              <w:t> </w:t>
            </w:r>
          </w:p>
        </w:tc>
        <w:tc>
          <w:tcPr>
            <w:tcW w:w="1230" w:type="dxa"/>
            <w:tcBorders>
              <w:top w:val="single" w:sz="4" w:space="0" w:color="000000"/>
            </w:tcBorders>
            <w:shd w:fill="BFBFBF" w:val="clear"/>
            <w:tcMar>
              <w:left w:w="0" w:type="dxa"/>
              <w:bottom w:w="0" w:type="dxa"/>
              <w:right w:w="0" w:type="dxa"/>
            </w:tcMar>
            <w:vAlign w:val="center"/>
          </w:tcPr>
          <w:p>
            <w:pPr>
              <w:pStyle w:val="TableContents"/>
              <w:bidi w:val="0"/>
              <w:spacing w:before="0" w:after="283"/>
              <w:jc w:val="left"/>
              <w:rPr/>
            </w:pPr>
            <w:r>
              <w:rPr/>
              <w:t> </w:t>
            </w:r>
          </w:p>
        </w:tc>
        <w:tc>
          <w:tcPr>
            <w:tcW w:w="1604" w:type="dxa"/>
            <w:tcBorders>
              <w:top w:val="single" w:sz="4" w:space="0" w:color="000000"/>
            </w:tcBorders>
            <w:shd w:fill="BFBFBF" w:val="clear"/>
            <w:tcMar>
              <w:left w:w="0" w:type="dxa"/>
              <w:bottom w:w="0" w:type="dxa"/>
              <w:right w:w="0" w:type="dxa"/>
            </w:tcMar>
            <w:vAlign w:val="center"/>
          </w:tcPr>
          <w:p>
            <w:pPr>
              <w:pStyle w:val="TableContents"/>
              <w:bidi w:val="0"/>
              <w:spacing w:before="0" w:after="283"/>
              <w:jc w:val="left"/>
              <w:rPr/>
            </w:pPr>
            <w:r>
              <w:rPr/>
              <w:t> </w:t>
            </w:r>
          </w:p>
        </w:tc>
        <w:tc>
          <w:tcPr>
            <w:tcW w:w="1608" w:type="dxa"/>
            <w:tcBorders>
              <w:top w:val="single" w:sz="4" w:space="0" w:color="000000"/>
            </w:tcBorders>
            <w:shd w:fill="BFBFBF" w:val="clear"/>
            <w:tcMar>
              <w:left w:w="0" w:type="dxa"/>
              <w:bottom w:w="0" w:type="dxa"/>
              <w:right w:w="0" w:type="dxa"/>
            </w:tcMar>
            <w:vAlign w:val="center"/>
          </w:tcPr>
          <w:p>
            <w:pPr>
              <w:pStyle w:val="TableContents"/>
              <w:bidi w:val="0"/>
              <w:spacing w:before="0" w:after="283"/>
              <w:jc w:val="left"/>
              <w:rPr/>
            </w:pPr>
            <w:r>
              <w:rPr/>
              <w:t> </w:t>
            </w:r>
          </w:p>
        </w:tc>
        <w:tc>
          <w:tcPr>
            <w:tcW w:w="633" w:type="dxa"/>
            <w:tcBorders>
              <w:top w:val="single" w:sz="4" w:space="0" w:color="000000"/>
            </w:tcBorders>
            <w:shd w:fill="BFBFBF" w:val="clear"/>
            <w:tcMar>
              <w:left w:w="0" w:type="dxa"/>
              <w:bottom w:w="0" w:type="dxa"/>
              <w:right w:w="0" w:type="dxa"/>
            </w:tcMar>
            <w:vAlign w:val="center"/>
          </w:tcPr>
          <w:p>
            <w:pPr>
              <w:pStyle w:val="TableContents"/>
              <w:bidi w:val="0"/>
              <w:spacing w:before="0" w:after="283"/>
              <w:jc w:val="left"/>
              <w:rPr/>
            </w:pPr>
            <w:r>
              <w:rPr/>
              <w:t> </w:t>
            </w:r>
          </w:p>
        </w:tc>
        <w:tc>
          <w:tcPr>
            <w:tcW w:w="647" w:type="dxa"/>
            <w:tcBorders>
              <w:top w:val="single" w:sz="4" w:space="0" w:color="000000"/>
            </w:tcBorders>
            <w:shd w:fill="BFBFBF" w:val="clear"/>
            <w:tcMar>
              <w:left w:w="0" w:type="dxa"/>
              <w:bottom w:w="0" w:type="dxa"/>
              <w:right w:w="0" w:type="dxa"/>
            </w:tcMar>
            <w:vAlign w:val="center"/>
          </w:tcPr>
          <w:p>
            <w:pPr>
              <w:pStyle w:val="TableContents"/>
              <w:bidi w:val="0"/>
              <w:spacing w:before="0" w:after="283"/>
              <w:jc w:val="left"/>
              <w:rPr/>
            </w:pPr>
            <w:r>
              <w:rPr/>
              <w:t> </w:t>
            </w:r>
          </w:p>
        </w:tc>
        <w:tc>
          <w:tcPr>
            <w:tcW w:w="714" w:type="dxa"/>
            <w:tcBorders>
              <w:top w:val="single" w:sz="4" w:space="0" w:color="000000"/>
              <w:right w:val="single" w:sz="4" w:space="0" w:color="000000"/>
            </w:tcBorders>
            <w:shd w:fill="BFBFBF" w:val="clear"/>
            <w:tcMar>
              <w:left w:w="0" w:type="dxa"/>
              <w:bottom w:w="0" w:type="dxa"/>
            </w:tcMar>
            <w:vAlign w:val="center"/>
          </w:tcPr>
          <w:p>
            <w:pPr>
              <w:pStyle w:val="TableContents"/>
              <w:bidi w:val="0"/>
              <w:spacing w:before="0" w:after="283"/>
              <w:jc w:val="left"/>
              <w:rPr/>
            </w:pPr>
            <w:r>
              <w:rPr/>
              <w:t> </w:t>
            </w:r>
          </w:p>
        </w:tc>
      </w:tr>
      <w:tr>
        <w:trPr/>
        <w:tc>
          <w:tcPr>
            <w:tcW w:w="8211" w:type="dxa"/>
            <w:gridSpan w:val="5"/>
            <w:tcBorders>
              <w:left w:val="single" w:sz="4" w:space="0" w:color="000000"/>
            </w:tcBorders>
            <w:shd w:fill="BFBFBF"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RECONCILIATION OF NON-GAAP FINANCIAL MEASURES</w:t>
            </w:r>
          </w:p>
        </w:tc>
        <w:tc>
          <w:tcPr>
            <w:tcW w:w="633"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right w:val="single" w:sz="4" w:space="0" w:color="000000"/>
            </w:tcBorders>
            <w:shd w:fill="BFBFBF" w:val="clear"/>
            <w:tcMar>
              <w:top w:w="0" w:type="dxa"/>
              <w:left w:w="0" w:type="dxa"/>
              <w:bottom w:w="0" w:type="dxa"/>
            </w:tcMar>
            <w:vAlign w:val="center"/>
          </w:tcPr>
          <w:p>
            <w:pPr>
              <w:pStyle w:val="TableContents"/>
              <w:bidi w:val="0"/>
              <w:spacing w:before="0" w:after="283"/>
              <w:jc w:val="left"/>
              <w:rPr/>
            </w:pPr>
            <w:r>
              <w:rPr/>
              <w:t> </w:t>
            </w:r>
          </w:p>
        </w:tc>
      </w:tr>
      <w:tr>
        <w:trPr/>
        <w:tc>
          <w:tcPr>
            <w:tcW w:w="1846" w:type="dxa"/>
            <w:tcBorders>
              <w:left w:val="single" w:sz="4" w:space="0" w:color="000000"/>
              <w:bottom w:val="single" w:sz="4" w:space="0" w:color="000000"/>
            </w:tcBorders>
            <w:shd w:fill="BFBFBF" w:val="clear"/>
            <w:tcMar>
              <w:top w:w="0" w:type="dxa"/>
              <w:right w:w="0" w:type="dxa"/>
            </w:tcMar>
            <w:vAlign w:val="center"/>
          </w:tcPr>
          <w:p>
            <w:pPr>
              <w:pStyle w:val="TableContents"/>
              <w:bidi w:val="0"/>
              <w:spacing w:before="0" w:after="283"/>
              <w:jc w:val="left"/>
              <w:rPr/>
            </w:pPr>
            <w:r>
              <w:rPr/>
              <w:t> </w:t>
            </w:r>
          </w:p>
        </w:tc>
        <w:tc>
          <w:tcPr>
            <w:tcW w:w="1923"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right w:val="single" w:sz="4"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6"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xml:space="preserve">Fiscal 2026 </w:t>
            </w:r>
            <w:r>
              <w:rPr>
                <w:rFonts w:ascii="Arial" w:hAnsi="Arial"/>
                <w:b/>
                <w:color w:val="000000"/>
                <w:sz w:val="13"/>
              </w:rPr>
              <w:t>(A)</w:t>
            </w:r>
          </w:p>
        </w:tc>
      </w:tr>
      <w:tr>
        <w:trPr/>
        <w:tc>
          <w:tcPr>
            <w:tcW w:w="18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2026</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Reconciliation of Adjusted EPS to GAAP EPS</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per share attributable to Cabot Corporation</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$0.12</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Certain items after tax per share</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(0.16)</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(0.34)</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earnings (loss) per share</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w:t>
            </w:r>
          </w:p>
        </w:tc>
      </w:tr>
      <w:tr>
        <w:trPr/>
        <w:tc>
          <w:tcPr>
            <w:tcW w:w="18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8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6"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xml:space="preserve">Fiscal 2025 </w:t>
            </w:r>
            <w:r>
              <w:rPr>
                <w:rFonts w:ascii="Arial" w:hAnsi="Arial"/>
                <w:b/>
                <w:color w:val="000000"/>
                <w:sz w:val="13"/>
              </w:rPr>
              <w:t>(A)</w:t>
            </w:r>
          </w:p>
        </w:tc>
      </w:tr>
      <w:tr>
        <w:trPr/>
        <w:tc>
          <w:tcPr>
            <w:tcW w:w="18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2025</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Reconciliation of Adjusted EPS to GAAP EPS</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per share attributable to Cabot Corporation</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$0.79</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Certain items after tax per share</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(0.09)</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(0.21)</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(0.04)</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(0.91)</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earnings (loss) per share</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w:t>
            </w:r>
          </w:p>
        </w:tc>
      </w:tr>
      <w:tr>
        <w:trPr/>
        <w:tc>
          <w:tcPr>
            <w:tcW w:w="18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8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1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(A)</w:t>
            </w:r>
          </w:p>
        </w:tc>
        <w:tc>
          <w:tcPr>
            <w:tcW w:w="6436" w:type="dxa"/>
            <w:gridSpan w:val="6"/>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 share amounts are calculated after tax.</w:t>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w:t>
            </w:r>
          </w:p>
        </w:tc>
        <w:tc>
          <w:tcPr>
            <w:tcW w:w="5206"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Fiscal 2026</w:t>
            </w:r>
          </w:p>
        </w:tc>
      </w:tr>
      <w:tr>
        <w:trPr/>
        <w:tc>
          <w:tcPr>
            <w:tcW w:w="18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2026</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Reconciliation of Adjusted EBITDA to Income (loss) from operations before income taxes and equity in earnings of affiliated companies</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(loss) from operations before income taxes and equity in earnings of affiliated companies</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$296</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Certain items</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unallocated (income) expense</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Equity in earnings of affiliated companies</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r>
      <w:tr>
        <w:trPr/>
        <w:tc>
          <w:tcPr>
            <w:tcW w:w="4999" w:type="dxa"/>
            <w:gridSpan w:val="3"/>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$179</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$194</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$554</w:t>
            </w:r>
          </w:p>
        </w:tc>
      </w:tr>
      <w:tr>
        <w:trPr/>
        <w:tc>
          <w:tcPr>
            <w:tcW w:w="18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1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2026</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Reinforcement Materials EBIT</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$97</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Reinforcement Materials Depreciation and amortization</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Reinforcement Materials EBITDA</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$121</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$117</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218"/>
        <w:gridCol w:w="366"/>
        <w:gridCol w:w="6108"/>
        <w:gridCol w:w="652"/>
        <w:gridCol w:w="644"/>
        <w:gridCol w:w="660"/>
        <w:gridCol w:w="707"/>
        <w:gridCol w:w="850"/>
      </w:tblGrid>
      <w:tr>
        <w:trPr/>
        <w:tc>
          <w:tcPr>
            <w:tcW w:w="2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10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Reinforcement Materials Sales</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$599</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$1,663</w:t>
            </w:r>
          </w:p>
        </w:tc>
      </w:tr>
      <w:tr>
        <w:trPr/>
        <w:tc>
          <w:tcPr>
            <w:tcW w:w="6692" w:type="dxa"/>
            <w:gridSpan w:val="3"/>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Reinforcement Materials EBITDA Margin</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Arial" w:hAnsi="Arial"/>
                <w:b/>
                <w:color w:val="000000"/>
                <w:sz w:val="2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r>
      <w:tr>
        <w:trPr/>
        <w:tc>
          <w:tcPr>
            <w:tcW w:w="218"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2026</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Performance Chemicals EBIT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$175</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 Chemicals Depreciation and amortization</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Performance Chemicals EBITDA</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$243</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 Chemicals Sales</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$979</w:t>
            </w:r>
          </w:p>
        </w:tc>
      </w:tr>
      <w:tr>
        <w:trPr/>
        <w:tc>
          <w:tcPr>
            <w:tcW w:w="6692" w:type="dxa"/>
            <w:gridSpan w:val="3"/>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Performance Chemicals EBITDA Margin</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Arial" w:hAnsi="Arial"/>
                <w:b/>
                <w:color w:val="000000"/>
                <w:sz w:val="2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r>
      <w:tr>
        <w:trPr/>
        <w:tc>
          <w:tcPr>
            <w:tcW w:w="218"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w:t>
            </w:r>
          </w:p>
        </w:tc>
        <w:tc>
          <w:tcPr>
            <w:tcW w:w="3513"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Fiscal 2026</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Reconciliation of Free Cash Flow and Discretionary Free Cash Flow to Cash provided by (used in) operating activities</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2026</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 xml:space="preserve">Cash provided by (used in) operating activities </w:t>
            </w:r>
            <w:r>
              <w:rPr>
                <w:rFonts w:ascii="Arial" w:hAnsi="Arial"/>
                <w:b/>
                <w:color w:val="000000"/>
                <w:sz w:val="13"/>
              </w:rPr>
              <w:t>(B)</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$126</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$278</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Additions to property, plant and equipment</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Free cash flow</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$126</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 Additions to property, plant and equipment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Less: Changes in net working capital </w:t>
            </w:r>
            <w:r>
              <w:rPr>
                <w:rFonts w:ascii="Arial" w:hAnsi="Arial"/>
                <w:color w:val="000000"/>
                <w:sz w:val="13"/>
              </w:rPr>
              <w:t>(C)</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Sustaining and compliance capital expenditures</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Discretionary free cash flow</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$91</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$225</w:t>
            </w:r>
          </w:p>
        </w:tc>
      </w:tr>
      <w:tr>
        <w:trPr/>
        <w:tc>
          <w:tcPr>
            <w:tcW w:w="218"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18"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(B)</w:t>
            </w:r>
          </w:p>
        </w:tc>
        <w:tc>
          <w:tcPr>
            <w:tcW w:w="61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 provided in the Condensed Consolidated Statements of Cash Flows.</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18"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(C)</w:t>
            </w:r>
          </w:p>
        </w:tc>
        <w:tc>
          <w:tcPr>
            <w:tcW w:w="9621" w:type="dxa"/>
            <w:gridSpan w:val="6"/>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Defined as changes in Accounts and notes receivable, Inventories, and Accounts payable and accrued liabilities as presented on the Condensed Consolidated Statements of Cash Flows.</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6398</Words>
  <Characters>42447</Characters>
  <CharactersWithSpaces>50197</CharactersWithSpaces>
  <Paragraphs>3649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