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2203d8k.htm"/>
      <w:bookmarkStart w:id="1" w:name="ksd22220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CABOT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001-05667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04-2271897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5165"/>
        <w:gridCol w:w="60"/>
        <w:gridCol w:w="1190"/>
      </w:tblGrid>
      <w:tr>
        <w:trPr/>
        <w:tc>
          <w:tcPr>
            <w:tcW w:w="5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5165" w:type="dxa"/>
            <w:tcBorders/>
            <w:vAlign w:val="center"/>
          </w:tcPr>
          <w:p>
            <w:pPr>
              <w:pStyle w:val="TableContents"/>
              <w:bidi w:val="0"/>
              <w:spacing w:before="0" w:after="283"/>
              <w:jc w:val="center"/>
              <w:rPr>
                <w:b/>
              </w:rPr>
            </w:pPr>
            <w:r>
              <w:rPr>
                <w:b/>
              </w:rPr>
              <w:t>2 Seaport Lane, Suite 1400, Boston, Massachusetts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02210-2019</w:t>
            </w:r>
          </w:p>
        </w:tc>
      </w:tr>
      <w:tr>
        <w:trPr/>
        <w:tc>
          <w:tcPr>
            <w:tcW w:w="516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345-0100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3725"/>
        <w:gridCol w:w="60"/>
        <w:gridCol w:w="740"/>
        <w:gridCol w:w="60"/>
        <w:gridCol w:w="266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725"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12, 2026, Cabot Corporation (“Cabot”) entered into an Underwriting Agreement (the “Underwriting Agreement”) with Citigroup Global Markets Inc., J.P. Morgan Securities LLC, PNC Capital Markets LLC and U.S. Bancorp Investments, Inc., as representatives of the several underwriters named in Schedule 1 thereto, relating to the issuance and sale of $350 million aggregate principal amount of 4.950% notes due 2029 (the “Notes”).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Notes was registered pursuant to an automatically effective shelf registration statement on Form S-3ASR under the Securities Act of 1933, as amended (Registration Statement No. 333-276078) (the “Registration Statement”), that was filed with the Securities and Exchange Commission on December 15, 2023. The Notes will be issued pursuant to a base indenture, as supplemented by a second supplemental indenture, in each case to be executed by and between Cabot and U.S. Bank Trust Company, National Association, as trustee. Cabot is expected to complete the issuance and sale of the Notes on or about August 21,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In order to furnish certain exhibits for incorporation by reference into the Registration Statement, Cabot is filing the Underwriting Agreement as Exhibit 1.1 to this Current Report on Form 8-K. Certain information relating to Part II, Item 14 “Other Expenses of Issuance and Distribution” of the Registration Statement is filed as Exhibit 99.1 to this Current Report on Form 8-K.</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222203dex11.htm">
              <w:r>
                <w:rPr>
                  <w:rStyle w:val="InternetLink"/>
                </w:rPr>
                <w:t xml:space="preserve">Underwriting Agreement, dated August 12, 2026, by and among Cabot Corporation, Citigroup Global Markets Inc., J.P. Morgan Securities LLC, PNC Capital Markets LLC and U.S. Bancorp Investments, Inc., as representatives of the several underwriters named in Schedule 1 thereto.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222203dex991.htm">
              <w:r>
                <w:rPr>
                  <w:rStyle w:val="InternetLink"/>
                </w:rPr>
                <w:t xml:space="preserve">Information relating to Part II, Item 14 “Other Expenses of Issuance and Distribution” of the Registration Statement.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380"/>
        <w:gridCol w:w="60"/>
        <w:gridCol w:w="507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5515" w:type="dxa"/>
            <w:gridSpan w:val="3"/>
            <w:tcBorders/>
            <w:vAlign w:val="center"/>
          </w:tcPr>
          <w:p>
            <w:pPr>
              <w:pStyle w:val="TableContents"/>
              <w:bidi w:val="0"/>
              <w:spacing w:before="0" w:after="283"/>
              <w:jc w:val="left"/>
              <w:rPr>
                <w:b/>
              </w:rPr>
            </w:pPr>
            <w:r>
              <w:rPr>
                <w:b/>
              </w:rPr>
              <w:t>CABOT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Erica McLaughlin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Erica McLaughlin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14, 2026 </w:t>
      </w:r>
    </w:p>
    <w:p>
      <w:pPr>
        <w:pStyle w:val="TextBody"/>
        <w:bidi w:val="0"/>
        <w:spacing w:before="0" w:after="0"/>
        <w:jc w:val="right"/>
        <w:rPr>
          <w:rFonts w:ascii="Times New Roman" w:hAnsi="Times New Roman"/>
          <w:b/>
          <w:sz w:val="20"/>
        </w:rPr>
      </w:pPr>
      <w:bookmarkStart w:id="2" w:name="d222203dex11.htm"/>
      <w:bookmarkStart w:id="3" w:name="ksd222203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CABOT CORPORATION </w:t>
      </w:r>
    </w:p>
    <w:p>
      <w:pPr>
        <w:pStyle w:val="TextBody"/>
        <w:bidi w:val="0"/>
        <w:spacing w:before="120" w:after="0"/>
        <w:jc w:val="center"/>
        <w:rPr>
          <w:rFonts w:ascii="Times New Roman" w:hAnsi="Times New Roman"/>
          <w:sz w:val="20"/>
        </w:rPr>
      </w:pPr>
      <w:r>
        <w:rPr>
          <w:rFonts w:ascii="Times New Roman" w:hAnsi="Times New Roman"/>
          <w:sz w:val="20"/>
        </w:rPr>
        <w:t xml:space="preserve">$350,000,000 4.950% Senior Notes due 2029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12, 2026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36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10th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240" w:after="0"/>
        <w:jc w:val="left"/>
        <w:rPr>
          <w:rFonts w:ascii="Times New Roman" w:hAnsi="Times New Roman"/>
          <w:sz w:val="20"/>
        </w:rPr>
      </w:pPr>
      <w:r>
        <w:rPr>
          <w:rFonts w:ascii="Times New Roman" w:hAnsi="Times New Roman"/>
          <w:sz w:val="20"/>
        </w:rPr>
        <w:t xml:space="preserve">c/o U.S. Bancorp Investments, Inc. </w:t>
      </w:r>
    </w:p>
    <w:p>
      <w:pPr>
        <w:pStyle w:val="TextBody"/>
        <w:bidi w:val="0"/>
        <w:spacing w:before="0" w:after="0"/>
        <w:jc w:val="left"/>
        <w:rPr>
          <w:rFonts w:ascii="Times New Roman" w:hAnsi="Times New Roman"/>
          <w:sz w:val="20"/>
        </w:rPr>
      </w:pPr>
      <w:r>
        <w:rPr>
          <w:rFonts w:ascii="Times New Roman" w:hAnsi="Times New Roman"/>
          <w:sz w:val="20"/>
        </w:rPr>
        <w:t xml:space="preserve">214 N. Tryon Street, 26th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Cabot Corporation, a Delaware corporation (the “Company”), proposes to issue and sell to the several Underwriters listed in Schedule 1 hereto (the “Underwriters”), for whom you are acting as representatives (the “Representatives”), $350,000,000 in aggregate principal amount of its 4.950% Senior Notes due 2029 (the “Securities”). The Securities will be issued pursuant to an indenture (the “Base Indenture”), dated as of June 22, 2022, between the Company and U.S. Bank Trust Company, National Association, as trustee (the “Trustee”), as amended and supplemented by a supplemental indenture to be dated on or about August 21, 2026 (the “Supplemental Indenture” and, together with the Base Indenture, the “Indenture”), between the Company and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Securities,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an automatically effective registration statement on Form S-3 (File No. 333-276078), including a prospectus, relating to the Company’s debt securities, including the Securities.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it becomes effective, if applicable,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time when sales of the Securities were first made (the “Time of Sale”), the Company had prepared the following information (collectively, the “Time of Sale Information”): a Preliminary Prospectus dated August 12, 2026, and each “free-writing prospectus” (as defined pursuant to Rule 405 under the Securities Act) listed on Annex A hereto as constituting part of the Time of Sale Information.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Securities by the Underwriters</w:t>
      </w:r>
      <w:r>
        <w:rPr>
          <w:rFonts w:ascii="Times New Roman" w:hAnsi="Times New Roman"/>
          <w:sz w:val="20"/>
        </w:rPr>
        <w:t xml:space="preserve">. (a)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at a price equal to 99.643% of the principal amount of the Securities, as set forth opposite such Underwriter’s name in Schedule 1 hereto, in each case plus accrued interest, if any, from August 21, 2026 to the Closing Date (as defined below). The Company will not be obligated to deliver any of the Securities except upon payment for all the Securities to be purchased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 </w:t>
      </w:r>
    </w:p>
    <w:p>
      <w:pPr>
        <w:pStyle w:val="TextBody"/>
        <w:bidi w:val="0"/>
        <w:spacing w:before="240" w:after="0"/>
        <w:jc w:val="left"/>
        <w:rPr>
          <w:rFonts w:ascii="Times New Roman" w:hAnsi="Times New Roman"/>
          <w:sz w:val="20"/>
        </w:rPr>
      </w:pPr>
      <w:r>
        <w:rPr>
          <w:rFonts w:ascii="Times New Roman" w:hAnsi="Times New Roman"/>
          <w:sz w:val="20"/>
        </w:rPr>
        <w:t xml:space="preserve">(c) Payment for and delivery of the Securities will be made at the offices of Simpson Thacher &amp; Bartlett LLP, 425 Lexington Avenue, New York, New York 10017 at 10:00 A.M., New York City time, on August 21, 2026, or at such other time or place on the same or such other date, not later than the fifth business day thereafter, as the Representatives and the Company may agree upon in writing. The time and date of such payment and delivery is referred to herein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Payment for the Securities shall be made by wire transfer in immediately available funds to the account(s) specified by the Company to the Representatives against delivery to the nominee of The Depository Trust Company (“DTC”), for the account of the Underwriters, of one or more global notes representing the Securities (collectively, the “Global Note”), with any transfer taxes payable in connection with the sale of the Securities duly paid by the Company. The Global Note will be made available for inspection by the Representatives not later than 1:00 P.M., New York City time, on the business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Time of Sale Information, at the time of filing thereof, complied in all material respects with the Securities Act and did not contain any untrue statement of a material fact or omit to state a material fact required to be stated therein or necessary in order to make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Time of Sale Information.</w:t>
      </w:r>
      <w:r>
        <w:rPr>
          <w:rFonts w:ascii="Times New Roman" w:hAnsi="Times New Roman"/>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will be included in the Prospectus that has been omitted from the Time of Sale Information and no statement of material fact included in the Time of Sale Information that is required to be included in the Prospectus has been omitted therefrom.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Issuer Free Writing Prospectus</w:t>
      </w:r>
      <w:r>
        <w:rPr>
          <w:rFonts w:ascii="Times New Roman" w:hAnsi="Times New Roman"/>
          <w:sz w:val="20"/>
        </w:rPr>
        <w:t xml:space="preserve">.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Preliminary Prospectus, (iii) the Prospectus, (iv) the documents listed on Annex A hereto which constitute part of the Time of Sale Information and (v) any electronic road show or other written communications including the investor presentation listed on Annex C hereto (the “investor presentation”), in each case approved in writing in advance by the Representatives. Each such Issuer Free Writing Prospectus complied in all material respects with the Securities Act, in the case of such Issuer Free Writing Prospectus has been or will be (within the time period specified in Rule 433 under the Securities Act) filed in accordance with the Securities Act (to the extent required thereby) and, each such Issuer Free Writing Prospectus,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“Trust Indenture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Incorporated Documents</w:t>
      </w:r>
      <w:r>
        <w:rPr>
          <w:rFonts w:ascii="Times New Roman" w:hAnsi="Times New Roman"/>
          <w:sz w:val="20"/>
        </w:rPr>
        <w:t xml:space="preserve">. The documents incorporated by reference in the Registration Statement, the Prospectus and the Time of Sale Information, when they were filed with the Commission conformed in all material respects to the requirements of the Exchange Act, and, as of their respective dates, none of such documents contained any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Financial Statements</w:t>
      </w:r>
      <w:r>
        <w:rPr>
          <w:rFonts w:ascii="Times New Roman" w:hAnsi="Times New Roman"/>
          <w:sz w:val="20"/>
        </w:rPr>
        <w:t xml:space="preserve">. The financial statements (including the related notes and supporting schedules) included or incorporated by reference in each of the Registration Statement, the Time of Sale Information and the Prospectus present fairly in all material respects the financial condition, results of operations and changes in the financial position of the Company and its subsidiaries, on the basis stated therein at the respective dates or for the respective periods to which they apply; such statements and related schedules and notes of the Company have been prepared in accordance with U.S. generally accepted accounting principles (“GAAP”) consistently applied throughout the periods involved; the supporting schedules of the Company, if any, included or incorporated by reference in each of the Registration Statement, the Time of Sale Information and the Prospectus present fairly in accordance with GAAP the information required to be stated therein; and the other financial and statistical information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data of the Company included or incorporated by reference in each of the Registration Statement, the Time of Sale Information and the Prospectus (and any amendment or supplement thereto) are in all material respects, accurately presented and prepared on a basis consistent with such financial statements (including the related notes and supporting schedules) and the books and records of the Company. The interactive data in eXtensible Business Reporting Language included or incorporated by reference in each of the Registration Statement, the Time of Sale Information and the Prospectus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Material Adverse Change</w:t>
      </w:r>
      <w:r>
        <w:rPr>
          <w:rFonts w:ascii="Times New Roman" w:hAnsi="Times New Roman"/>
          <w:sz w:val="20"/>
        </w:rPr>
        <w:t xml:space="preserve">. Since the date of the most recent financial statements of the Company included or incorporated by reference in each of the Registration Statement, the Time of Sale Information and the Prospectus, (i) there has not been any change in the capital stock or long-term debt of the Company or any of its subsidiaries, or any dividend or distribution of any kind declared, set aside for payment, paid or made by the Company on any class of capital stock (other than its regular quarterly dividend on its common stock or dividend equivalent payments on restricted stock units), or any material adverse change, or any development involving a prospective material adverse change, in or affecting the business, properties, management, financial position or results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as corporations or other business organizations, as applicable, in good standing under the laws of their respective jurisdictions of incorporation or organization, as applicable, are duly qualified to do business and are in good standing as foreign corporations or other business organizations, as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so qualify to be in good standing would not reasonably be expected to have, individually or in the aggregate, a material adverse effect on the consolidated financial position, stockholders’ equity, results of operations or business of the Company and its subsidiaries, taken as a whole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Capitalization</w:t>
      </w:r>
      <w:r>
        <w:rPr>
          <w:rFonts w:ascii="Times New Roman" w:hAnsi="Times New Roman"/>
          <w:sz w:val="20"/>
        </w:rPr>
        <w:t xml:space="preserve">. The Company had an authorized and issued capitalization on June 30, 2026 as included or incorporated by reference in each of the Registration Statement, the Time of Sale Information and the Prospectus, and all of the issued shares of capital stock of the Company have been duly authorized and validly issued, are fully paid and non-assessable; and all of the issued shares of capital stock or membership interests, as applicable, of each subsidiary of the Company have been duly authorized and validly issued and are fully paid and nonassessable and, except as described in the Registration Statement, the Time of Sale Information and the Prospectus and for directors’ qualifying shares, are owned directly or indirectly by the Company, free and clear of all liens, encumbrances, equities or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Due Authorization</w:t>
      </w:r>
      <w:r>
        <w:rPr>
          <w:rFonts w:ascii="Times New Roman" w:hAnsi="Times New Roman"/>
          <w:sz w:val="20"/>
        </w:rPr>
        <w:t xml:space="preserve">. The Company has full right, power and authority to execute and deliver this Agreement, the Securities and the Indenture (collectively, the “Transaction Documents”) and to perform its obligations hereunder and thereunder; and all action required to be taken for the due and proper authorization, execution and delivery of each of the Transaction Documents and the consummation of the transactions contemplated thereby has been duly and validly taken.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The Indenture</w:t>
      </w:r>
      <w:r>
        <w:rPr>
          <w:rFonts w:ascii="Times New Roman" w:hAnsi="Times New Roman"/>
          <w:sz w:val="20"/>
        </w:rPr>
        <w:t xml:space="preserve">. (i) The Base Indenture has been duly authorized, executed and delivered by the Company and upon effectiveness of the Registration Statement was duly qualified under the Trust Indenture Act and constitutes a valid and legally binding agreement of the Company enforceable against the Company in accordance with its terms, and (ii) the Supplemental Indenture has been duly authorized by the Company, and when duly executed and delivered in accordance with its terms by each of the parties thereto, will constitute a valid and legally binding agreement of the Company enforceable against the Company in accordance with its terms, except in each case (i) and (ii) above as enforceability may be limited by applicable bankruptcy, insolvency or similar laws affecting the enforcement of creditors’ rights generally or by equitable principles relating to enforceability (collectively,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The Securities</w:t>
      </w:r>
      <w:r>
        <w:rPr>
          <w:rFonts w:ascii="Times New Roman" w:hAnsi="Times New Roman"/>
          <w:sz w:val="20"/>
        </w:rPr>
        <w:t xml:space="preserve">. The Securities have been duly authorized by the Company and, when duly executed, 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Underwriting Agreement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Descriptions of the Transaction Documents</w:t>
      </w:r>
      <w:r>
        <w:rPr>
          <w:rFonts w:ascii="Times New Roman" w:hAnsi="Times New Roman"/>
          <w:sz w:val="20"/>
        </w:rPr>
        <w:t xml:space="preserve">. Each Transaction Document conforms in all material respects to the description thereof contained in each of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(ii) in default, and no event has occurred that, with notice or lapse of time or both, would constitute such a default, in the due performance or observance of any term, covenant or condition contained in any indenture, mortgage, deed of trust, loan agreement, lease, pledge or other agreement or instrument to which the Company or any of its subsidiaries is a party or by which the Company or any of its subsidiaries is bound or to which any of the properties or assets of the Company or any of its subsidiaries is subject or (iii) in violation of any law, ordinance, governmental rule, regulation or court decree (whether domestic or foreign) to which the Company or any of its subsidiaries or the property or assets of the Company or any of its subsidiaries may be subject or has failed to obtain any material license, permit, certificate, franchise or other governmental authorization or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(whether domestic or foreign) necessary to the ownership of the property of the Company or any of its subsidiaries or to the conduct of the business of the Company or any of its subsidiaries, except in the case of clauses (ii) and (iii) for such defaults or violations that have not, individually or in the aggregate, had, and would not reasonably be expected to have, a Material Adverse Effect or have a material adverse effect on the ability of the Company to perform its obligations under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Conflicts</w:t>
      </w:r>
      <w:r>
        <w:rPr>
          <w:rFonts w:ascii="Times New Roman" w:hAnsi="Times New Roman"/>
          <w:sz w:val="20"/>
        </w:rPr>
        <w:t xml:space="preserve">. The execution, delivery and performance by the Company of the Transaction Documents to which it is a party and the consummation of the transactions contemplated hereby and thereby, including the issuance and sale of the Securities will not (i) conflict with or result in a breach or violation of any of the terms or provisions of, or constitute a default under, any material indenture, mortgage, deed of trust, loan agreement, lease, pledge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of the Company or any of its subsidiaries, (iii) result in any violation of any statute or any order, rule or regulation of any court or governmental agency or body (whether domestic or foreign) having jurisdiction over the Company or any of its subsidiaries or any of their properties or assets, or (iv) result in the imposition or creation of (or the obligation to create or impose) a material lien under any agreement or instrument to which the Company or any of its subsidiaries is a party or by which the Company or any of its subsidiaries or their respective properties or assets is bound or (v) result in the suspension, termination or revocation of any Authorization (as defined in Section 3(y) hereof) of the Company or any of its subsidiaries or any other impairment of the rights of the holder of any such Authorization.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Consents Required</w:t>
      </w:r>
      <w:r>
        <w:rPr>
          <w:rFonts w:ascii="Times New Roman" w:hAnsi="Times New Roman"/>
          <w:sz w:val="20"/>
        </w:rPr>
        <w:t xml:space="preserve">. Except (i) as required by applicable state securities or “blue sky” laws and (ii) for such consents, approvals, authorizations, orders, filings or registrations that have been obtained or made, no consent, approval, authorization or order of, or filing or registration with, any court or governmental agency or body (whether domestic or foreign) having jurisdiction over the Company or any of its subsidiaries or any of their properties or assets is required for the execution, delivery and performance by the Company of the Transaction Documents and the consummation of the transactions contemplated hereby and thereby, including the issuance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Legal Proceedings</w:t>
      </w:r>
      <w:r>
        <w:rPr>
          <w:rFonts w:ascii="Times New Roman" w:hAnsi="Times New Roman"/>
          <w:sz w:val="20"/>
        </w:rPr>
        <w:t xml:space="preserve">. Except as disclosed in the Time of Sale Information and the Prospectus, there are no legal or governmental proceedings (whether domestic or foreign) pending to which the Company or any of its subsidiaries is a party or of which any property or assets of the Company or any of its subsidiaries is the subject that would reasonably be expected to have, individually or in the aggregate, a Material Adverse Effect or have a material adverse effect on the ability of the Company to perform its obligations under the Transaction Documents; and to the best of the Company’s or any of its subsidiaries’ knowledge, no such proceedings are threatened or contemplated by governmental authorities or threatened by others.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Independent Accountants</w:t>
      </w:r>
      <w:r>
        <w:rPr>
          <w:rFonts w:ascii="Times New Roman" w:hAnsi="Times New Roman"/>
          <w:sz w:val="20"/>
        </w:rPr>
        <w:t xml:space="preserve">. Deloitte &amp; Touche LLP, who have certified certain financial statements of the Company and its subsidiaries, was, as of the date of such certification,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Title to Real and Personal Property</w:t>
      </w:r>
      <w:r>
        <w:rPr>
          <w:rFonts w:ascii="Times New Roman" w:hAnsi="Times New Roman"/>
          <w:sz w:val="20"/>
        </w:rPr>
        <w:t xml:space="preserve">. The Company and each of its subsidiaries have good and marketable title to all real property and good and marketable title to all personal property owned by them, in each case free and clear of all liens, encumbrances and defects, except such as are described in the Time of Sale Information and the Prospectus or such as would not reasonably be expected, individually or in the aggregate, to have a Material Adverse Effect; and all assets held under lease by the Company and its subsidiaries are held by them under valid, subsisting and enforceable leases, except such as are described in the Time of Sale Information and the Prospectus or such as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Title to Intellectual Property</w:t>
      </w:r>
      <w:r>
        <w:rPr>
          <w:rFonts w:ascii="Times New Roman" w:hAnsi="Times New Roman"/>
          <w:sz w:val="20"/>
        </w:rPr>
        <w:t xml:space="preserve">. The Company and each of its subsidiaries (i) own or possess adequate rights to use all patents, patent rights, patent applications, trademarks, service marks, trade names, trademark registrations, service mark registrations, copyrights, inventions, know-how (including trade secrets and other unpatented and/or unpatentable proprietary or confidential information, systems or procedures), software, licenses and other intellectual property (collectively, “intellectual property rights”) presently used in the conduct of their respective businesses and (ii) have no reason to believe that the conduct of their respective businesses will conflict with, and have not received any notice of any infringement or violation of, rights of others with respect to any of such intellectual property rights, and to the knowledge of the Company, no third party is infringing or violating any intellectual property rights owned by the Company or its subsidiaries, except in each case where the failure to own or possess such intellectual property rights or the infringement or violation of the intellectual property rights of others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suppliers or affiliates of the Company or any of its subsidiaries, on the other, that is required by the Securities Act to be described in each of the Registration Statement and the Prospectus and that is not so described in such documents and in the Time of Sale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Investment Company Act</w:t>
      </w:r>
      <w:r>
        <w:rPr>
          <w:rFonts w:ascii="Times New Roman" w:hAnsi="Times New Roman"/>
          <w:sz w:val="20"/>
        </w:rPr>
        <w:t xml:space="preserve">. The Company is not and, after giving effect to the offering and sale of the Securities and the application of the proceeds 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 (collectively,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Taxes</w:t>
      </w:r>
      <w:r>
        <w:rPr>
          <w:rFonts w:ascii="Times New Roman" w:hAnsi="Times New Roman"/>
          <w:sz w:val="20"/>
        </w:rPr>
        <w:t xml:space="preserve">. The Company and its subsidiaries have paid all material federal, state, local and foreign taxes and filed all tax returns required to be paid or filed through the date hereof; and except as otherwise disclosed in the Registration Statement, the Time of Sale Information and the Prospectus, there is no tax deficiency that has been, or could reasonably be expected to be, asserted against the Company or any of its subsidiaries or any of their respective properties or assets that would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Licenses and Permits</w:t>
      </w:r>
      <w:r>
        <w:rPr>
          <w:rFonts w:ascii="Times New Roman" w:hAnsi="Times New Roman"/>
          <w:sz w:val="20"/>
        </w:rPr>
        <w:t xml:space="preserve">. Except as set forth in the Time of Sale Information and the Prospectus, the Company and each of its subsidiaries has such permits, licenses, consents, exemptions, franchises, authorizations and other approvals (each, an “Authorization”) of, and has made all filings with and notices to, all governmental or regulatory authorities (whether domestic or foreign) and self-regulatory organizations and all courts and other tribunals, including, without limitation, under any applicable environmental law, ordinance, rule, regulation, order, judgment, decree or permit, as are necessary to own, lease, license and operate its respective properties and to conduct its business, except where the failure to have any such Authorization or to make any such filing or notice would not, individually or in the aggregate, reasonably be expected to have a Material Adverse Effect; each such Authorization is valid and in full force and effect and the Company and each of its subsidiaries is in compliance with all the terms and conditions thereof and with the rules and regulations of the authorities and governing bodies having jurisdiction with respect thereto; and no event has occurred (including, without limitation, the receipt of any notice from any authority or governing body) which allows or, after notice or lapse of time or both, would allow, revocation, suspension or termination of any such Authorization or results or, after notice or lapse of time or both, would result in any other impairment of the rights of the holder of any such Authorization; and such Authorizations contain no restrictions that are burdensome to the Company or any of its subsidiaries, except where such failure to be valid and in full force and effect or to be in compliance, the occurrence of any such event or the presence of any such restriction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No Labor Disputes</w:t>
      </w:r>
      <w:r>
        <w:rPr>
          <w:rFonts w:ascii="Times New Roman" w:hAnsi="Times New Roman"/>
          <w:sz w:val="20"/>
        </w:rPr>
        <w:t xml:space="preserve">. No labor disturbance by or dispute with employees of the Company or any of its subsidiaries that are expected to have a Material Adverse Effect on the Company’s operations exists or, to the best knowledge of the Company, is contemplated or threatened.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Compliance With Environmental Laws</w:t>
      </w:r>
      <w:r>
        <w:rPr>
          <w:rFonts w:ascii="Times New Roman" w:hAnsi="Times New Roman"/>
          <w:sz w:val="20"/>
        </w:rPr>
        <w:t xml:space="preserve">. Except as otherwise stated in the Registration Statement, the Time of Sale Information and the Prospectus and except as would not, individually or in the aggregate, be reasonably expected to have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any Environmental Law against the Company or any of its subsidiaries, and (D) there are no events or circumstances that may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Compliance with ERISA</w:t>
      </w:r>
      <w:r>
        <w:rPr>
          <w:rFonts w:ascii="Times New Roman" w:hAnsi="Times New Roman"/>
          <w:sz w:val="20"/>
        </w:rPr>
        <w:t xml:space="preserve">.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 305 of ERISA); (v) the fair market value of the assets of each Plan that is subject to the funding rules of Section 412 of the Code or Section 302 of ERISA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with respect to a Plan; (vii) each Plan that is intended to be qualified under Section 401(a) of the Code is so qualified, and nothing has occurred, whether by action or by failure to act, which would reasonably be expected to cause the loss of such qualification; (viii)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or any fines, penalties, taxes or related charges under Chapter 43 of the Code;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Disclosure Controls</w:t>
      </w:r>
      <w:r>
        <w:rPr>
          <w:rFonts w:ascii="Times New Roman" w:hAnsi="Times New Roman"/>
          <w:sz w:val="20"/>
        </w:rPr>
        <w:t xml:space="preserve">. The Company maintains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Accounting Controls</w:t>
      </w:r>
      <w:r>
        <w:rPr>
          <w:rFonts w:ascii="Times New Roman" w:hAnsi="Times New Roman"/>
          <w:sz w:val="20"/>
        </w:rPr>
        <w:t xml:space="preserve">. The Company maintains a system of “internal control over financial reporting” (as defined in Rule 13a-15(f) of the Exchange Act) that complies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each of the Registration Statement, the Time of Sale Information and the Prospectus is prepared in accordance with the Commission’s rules and guidelines applicable thereto. There are no material weaknesses in the Company’s internal controls.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Insurance</w:t>
      </w:r>
      <w:r>
        <w:rPr>
          <w:rFonts w:ascii="Times New Roman" w:hAnsi="Times New Roman"/>
          <w:sz w:val="20"/>
        </w:rPr>
        <w:t xml:space="preserve">. The Company and each of its subsidiaries carry, or are covered by, insurance in such amounts and covering such risks as the Company believes are adequate for the conduct of their respective businesses and the value of their respective properties and as is customary for companies engaged in similar businesses in similar industries. Neither the Company nor any of its subsidiaries (i) has received notice from any insurer or agent of such insurer that substantial capital improvements or other material expenditures will have to be made in order to continue such insurance or (ii) has any reason to believe that it will not be able to renew its existing insurance coverage as and when such coverage expires or to obtain similar coverage from similar insurers at a cost that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No Unlawful Payments</w:t>
      </w:r>
      <w:r>
        <w:rPr>
          <w:rFonts w:ascii="Times New Roman" w:hAnsi="Times New Roman"/>
          <w:sz w:val="20"/>
        </w:rPr>
        <w:t xml:space="preserve">. Neither the Company nor any of its subsidiaries, nor, to the knowledge of the Company, their respective directors, officers, employees, agents, affiliates or other persons associated with or acting on behalf of the Company or any of its subsidiaries has materially violated or is in material violation of laws relating to (i) use of any corporate funds for any unlawful contribution, gift, entertainment or other unlawful expense relating to political activity; (ii) making or taking an act in furtherance of an offer, promise or authorization of any direct or indirect unlawful payment or unlawful benefit to any foreign or domestic government official or employee, including of any government-owned or controlled entity or of a public international organization, or any person acting in an official capacity for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behalf of any of the foregoing, or any political party or party official or candidate for political office; (iii)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(collectively, the “Anti-Corruption Laws”); or (iv) making or taking an act in furtherance of an offer, promise or authorization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Compliance with Anti-Money Laundering Laws</w:t>
      </w:r>
      <w:r>
        <w:rPr>
          <w:rFonts w:ascii="Times New Roman" w:hAnsi="Times New Roman"/>
          <w:sz w:val="20"/>
        </w:rPr>
        <w:t xml:space="preserve">. The operations of the Company and its subsidiaries are and have been conducted at all times in 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Conflicts with Sanctions Laws</w:t>
      </w:r>
      <w:r>
        <w:rPr>
          <w:rFonts w:ascii="Times New Roman" w:hAnsi="Times New Roman"/>
          <w:sz w:val="20"/>
        </w:rPr>
        <w:t xml:space="preserve">. Neither the Company nor any of its subsidiaries, nor, to the knowledge of the Company, any director, officer or employee of the Company or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any of its subsidiaries located, organized or resident in a country or territory that is the subject or target of Sanctions, including, without limitation, the Crimea, Kherson, and Zaporizhzhia, the so-called Donetsk People’s Republic, and the so-called Luhansk People’s Republic regions of Ukraine, Cuba, Iran, North Korea and Syria (each, a “Sanctioned Country”);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except to the extent permissible for a Person required to comply with Sanctions, (ii) to fund or facilitate any activities of or business in any Sanctioned Country, except to the extent permissible for a Person required to comply with Sanctions or (iii) in any other manner that will result in a violation by any person (including any person participating in the transaction, whether as underwriter, initial purchaser,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Cyber-Security</w:t>
      </w:r>
      <w:r>
        <w:rPr>
          <w:rFonts w:ascii="Times New Roman" w:hAnsi="Times New Roman"/>
          <w:sz w:val="20"/>
        </w:rPr>
        <w:t xml:space="preserve">. Except as would not, individually or in the aggregate, reasonably be expected to result in a Material Adverse Effect, (i) the Company and its subsidiaries’ information technology assets and equipment, computers, systems, networks, hardware, software, websites, applications, and databases (collectively, “IT Systems”) are adequate for, and operate and perform as required in connection with the operation of the business of the Company and its subsidiaries as currently conducted, (ii) the Company and its subsidiaries have 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sensitive, confidential or other regulated data (“Personal Data”)) used in connection with their businesses, and there have been no breaches, violations, outages or unauthorized uses of or accesses to the same, except for those that have been remedied without cost or liability or the duty to notify any other person, nor are there any incidents under internal review or investigations relating to the same and (iii) the Company and its subsidiaries are presently in compliance with all applicable laws and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or the issuance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in each of the Registration Statement, the Time of Sale Information and the Prospectus is not based on or derived from sources that are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No Stabilization</w:t>
      </w:r>
      <w:r>
        <w:rPr>
          <w:rFonts w:ascii="Times New Roman" w:hAnsi="Times New Roman"/>
          <w:sz w:val="20"/>
        </w:rPr>
        <w:t xml:space="preserve">. The Company has not taken,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Sarbanes-Oxley Act</w:t>
      </w:r>
      <w:r>
        <w:rPr>
          <w:rFonts w:ascii="Times New Roman" w:hAnsi="Times New Roman"/>
          <w:sz w:val="20"/>
        </w:rPr>
        <w:t xml:space="preserve">. There is and has been no failure on the part of the Company or any of the Company’s directors or officers, in their capacities as such, to comply in any material respect with any provision of the Sarbanes-Oxley Act of 2002, as amended, and the rules and regulations promulgated in connection therewith (the “Sarbanes-Oxley Act”),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Status under the Securities Act</w:t>
      </w:r>
      <w:r>
        <w:rPr>
          <w:rFonts w:ascii="Times New Roman" w:hAnsi="Times New Roman"/>
          <w:sz w:val="20"/>
        </w:rPr>
        <w:t xml:space="preserve">. The Company is not an ineligible issuer and is a well-known seasoned issuer, in each case as defined under the Securities Act, in each case at the times specified in the Securities Act in connection with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Exemption under the Commodity Exchange Act</w:t>
      </w:r>
      <w:r>
        <w:rPr>
          <w:rFonts w:ascii="Times New Roman" w:hAnsi="Times New Roman"/>
          <w:sz w:val="20"/>
        </w:rPr>
        <w:t xml:space="preserve">. The Securities, upon issuance, will be excluded or exempted under, or beyond the purview of, the Commodity Exchange Act, as amended (the “Commodity Exchange Act”), and the rules and regulations of the Commodity Futures Trading Commission under the Commodity Exchange Act.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Officers’ Certificates</w:t>
      </w:r>
      <w:r>
        <w:rPr>
          <w:rFonts w:ascii="Times New Roman" w:hAnsi="Times New Roman"/>
          <w:sz w:val="20"/>
        </w:rPr>
        <w:t xml:space="preserve">. Each certificate signed by any officer of the Company and delivered to the Underwriters or counsel to the Underwriters shall be deemed to be a representation and warranty by the Company to the Underwriters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(including the Pricing Term Sheet in the form of Annex B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If requested by the Representatives, the Company will deliver, without charge, (i) to the Representatives, two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and promptly object.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Time of Sale Information</w:t>
      </w:r>
      <w:r>
        <w:rPr>
          <w:rFonts w:ascii="Times New Roman" w:hAnsi="Times New Roman"/>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Ongoing Compliance</w:t>
      </w:r>
      <w:r>
        <w:rPr>
          <w:rFonts w:ascii="Times New Roman" w:hAnsi="Times New Roman"/>
          <w:sz w:val="20"/>
        </w:rPr>
        <w:t xml:space="preserve">.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will not, in the light of the circumstances existing when the Prospectus is delivered to a purchaser, be misleading or so that the Prospectus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Blue Sky Compliance</w:t>
      </w:r>
      <w:r>
        <w:rPr>
          <w:rFonts w:ascii="Times New Roman" w:hAnsi="Times New Roman"/>
          <w:sz w:val="20"/>
        </w:rPr>
        <w:t xml:space="preserve">. 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Earning Statement</w:t>
      </w:r>
      <w:r>
        <w:rPr>
          <w:rFonts w:ascii="Times New Roman" w:hAnsi="Times New Roman"/>
          <w:sz w:val="20"/>
        </w:rPr>
        <w:t xml:space="preserve">. 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Clear Market</w:t>
      </w:r>
      <w:r>
        <w:rPr>
          <w:rFonts w:ascii="Times New Roman" w:hAnsi="Times New Roman"/>
          <w:sz w:val="20"/>
        </w:rPr>
        <w:t xml:space="preserve">. During the period from the date hereof through and including the date that is one business day after the Closing Date, the Company will not, without the prior written consent of the Representatives, offer, sell, contract to sell or otherwise dispose of any debt securities issued or guaranteed by the Company and having a tenor of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w:t>
      </w:r>
      <w:r>
        <w:rPr>
          <w:rFonts w:ascii="Times New Roman" w:hAnsi="Times New Roman"/>
          <w:sz w:val="20"/>
        </w:rPr>
        <w:t xml:space="preserve">. The Company will apply the net proceeds from the sale of the Securities as described in each of the Registration Statement, the Time of Sale Information and the Prospectus under the heading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DTC</w:t>
      </w:r>
      <w:r>
        <w:rPr>
          <w:rFonts w:ascii="Times New Roman" w:hAnsi="Times New Roman"/>
          <w:sz w:val="20"/>
        </w:rPr>
        <w:t xml:space="preserve">. The Company will assist the Underwriters in arranging for the Securities to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No Stabilization</w:t>
      </w:r>
      <w:r>
        <w:rPr>
          <w:rFonts w:ascii="Times New Roman" w:hAnsi="Times New Roman"/>
          <w:sz w:val="20"/>
        </w:rPr>
        <w:t xml:space="preserve">. The Company will not take,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Securities Act, (ii) any Issuer Free Writing Prospectus listed on Annex A or prepared pursuant to Section 3(c) or Section 4(c) above (including any electronic road show), or (iii) any free writing prospectus prepared by such Underwriter and approved by the Company and the Representatives in advance in writing (each such free writing prospectus referred to in clauses (i) or (iii), an “Underwriter Free Writing Prospectus”). Notwithstanding the foregoing, the Underwriters may use the Pricing Term Sheet substantially in the form of Annex B hereto without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Securities on the Closing Date as provided herein is subject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contained herein shall be true and correct on the date hereof and on and as of the Closing Date; and the statements of the Company and its officers made in any certificates delivered pursuant to this Agreement shall be true and correct on and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Downgrade</w:t>
      </w:r>
      <w:r>
        <w:rPr>
          <w:rFonts w:ascii="Times New Roman" w:hAnsi="Times New Roman"/>
          <w:sz w:val="20"/>
        </w:rPr>
        <w:t xml:space="preserve">. Subsequent to the earlier of (A) the Time of Sale and (B) the execution and delivery of this Agreement, (i) no downgrading shall have occurred in the rating accorded the Securities or any other debt securities or preferred stock of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or preferred stock of or guaranteed by the Company or any of its subsidiaries (other than an announcement with positive implications of a possible upgrading).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Change</w:t>
      </w:r>
      <w:r>
        <w:rPr>
          <w:rFonts w:ascii="Times New Roman" w:hAnsi="Times New Roman"/>
          <w:sz w:val="20"/>
        </w:rPr>
        <w:t xml:space="preserve">. No event or condition of a type described in Section 3(g) hereof shall have occurred or shall exist, which event 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a certificate of an executive officer of the Company who has specific knowledge of the Company’s financial matters and is satisfactory to the Representatives (i) confirming that such officer has carefully reviewed the Registration Statement, the Time of Sale Information and the Prospectus and, to the best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w:t>
      </w:r>
      <w:r>
        <w:rPr>
          <w:rFonts w:ascii="Times New Roman" w:hAnsi="Times New Roman"/>
          <w:sz w:val="20"/>
        </w:rPr>
        <w:t xml:space="preserve">. On the date of this Agreement and on the Closing Date: 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the Registration Statement, the Time of Sale Information and the Prospectus; </w:t>
      </w:r>
      <w:r>
        <w:rPr>
          <w:rFonts w:ascii="Times New Roman" w:hAnsi="Times New Roman"/>
          <w:sz w:val="20"/>
          <w:u w:val="single"/>
        </w:rPr>
        <w:t>provided</w:t>
      </w:r>
      <w:r>
        <w:rPr>
          <w:rFonts w:ascii="Times New Roman" w:hAnsi="Times New Roman"/>
          <w:sz w:val="20"/>
        </w:rPr>
        <w:t xml:space="preserve"> that the letters delivered on the date of this Agreement and on the Closing Date shall use a “cut-off” date no more than three business days prior to the date of this Agreement and the Closing Date, respectively; and (ii) the Company shall have furnished to the Representatives a certificate, dated the date of this Agreement and the Closing Date and addressed to the Representatives, of its chief financial officer with respect to certain financial data contained in the Registration Statement, the Time of Sale Information and the Prospectus, providing “management comfort” with respect to such information,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Company</w:t>
      </w:r>
      <w:r>
        <w:rPr>
          <w:rFonts w:ascii="Times New Roman" w:hAnsi="Times New Roman"/>
          <w:sz w:val="20"/>
        </w:rPr>
        <w:t xml:space="preserve">. Ropes &amp; Gray LLP, counsel for the Company, shall have furnished to the Representatives, at the request of the Company, their written opinion and 10b-5 statement, dated the Closing Date and addressed to the Underwriters, in form and substance reasonably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of General Counsel for the Company</w:t>
      </w:r>
      <w:r>
        <w:rPr>
          <w:rFonts w:ascii="Times New Roman" w:hAnsi="Times New Roman"/>
          <w:sz w:val="20"/>
        </w:rPr>
        <w:t xml:space="preserve">. Karen Kalita, Senior Vice President and General Counsel for the Company, shall have furnished to the Representatives, her written opinion, dated the Closing Date and addressed to the Underwriters,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an opinion and 10b-5 statement, addressed to the Underwriters, of Simpson Thacher &amp; Bartlett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Good Standing</w:t>
      </w:r>
      <w:r>
        <w:rPr>
          <w:rFonts w:ascii="Times New Roman" w:hAnsi="Times New Roman"/>
          <w:sz w:val="20"/>
        </w:rPr>
        <w:t xml:space="preserve">. The Representatives shall have received on and as of the Closing Date satisfactory evidence of the good standing of the Company in its jurisdiction of organization and its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DTC</w:t>
      </w:r>
      <w:r>
        <w:rPr>
          <w:rFonts w:ascii="Times New Roman" w:hAnsi="Times New Roman"/>
          <w:sz w:val="20"/>
        </w:rPr>
        <w:t xml:space="preserve">. The Securities shall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Indenture and Securities</w:t>
      </w:r>
      <w:r>
        <w:rPr>
          <w:rFonts w:ascii="Times New Roman" w:hAnsi="Times New Roman"/>
          <w:sz w:val="20"/>
        </w:rPr>
        <w:t xml:space="preserve">. The Indenture shall have been duly executed and delivered by a duly authorized officer of the Company and the Trustee, and the Securities shall have been duly executed and delivered by a duly authorized officer of the Company and duly authenticated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Additional Documents</w:t>
      </w:r>
      <w:r>
        <w:rPr>
          <w:rFonts w:ascii="Times New Roman" w:hAnsi="Times New Roman"/>
          <w:sz w:val="20"/>
        </w:rPr>
        <w:t xml:space="preserve">. On or prior to the Closing Date,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w:t>
      </w:r>
      <w:r>
        <w:rPr>
          <w:rFonts w:ascii="Times New Roman" w:hAnsi="Times New Roman"/>
          <w:sz w:val="20"/>
        </w:rPr>
        <w:t xml:space="preserve">. Each Underwriter agrees, severally and not jointly, to indemnify and hold harmless the Company, its directors and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the third paragraph of text under the caption “Underwriting” in the Preliminary Prospectus Supplement and the Prospectus Supplement, the third sentence of the first paragraph relating to market making and the first sentence of the second paragraph relating to overallotment, stabilization and syndicate covering transactions under the caption “Underwriting—Price Stabilization and Short Positions” in the Preliminary Prospectus Supplement and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reasonable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and the Underwriters agree that it would not be just and equitable if contribution pursuant to this Section 7 were determined by pro rata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are not exclusive and shall not limit any rights or remedies that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if after the execution and delivery of this Agreement and on or prior to the Closing Date (i) trading generally shall have been suspended or materially limited on The New York Stock Exchange or the over-the-counter market; (ii) trading of any securities issued or guaranteed by the Company shall have been suspended on any exchange or in any over-the-counter market; (iii) there shall have occurred any material disruption in settlement or clearance services; (iv) a general moratorium on commercial banking activities shall have been declared by federal or New York State authorities; or (v)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Defaulting Underwriter</w:t>
      </w:r>
      <w:r>
        <w:rPr>
          <w:rFonts w:ascii="Times New Roman" w:hAnsi="Times New Roman"/>
          <w:sz w:val="20"/>
        </w:rPr>
        <w:t xml:space="preserve">. (a)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“Underwriter” includes, for all purposes of this Agreement unless the context otherwise requires, any person not listed in Schedule 1 hereto that, pursuant to this Section 10, purchases Securities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pro rata share (based on the principal amount of Securities that such Underwriter agreed to purchase hereunder) of the Securities of such defaulting Underwriter or Underwriters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sz w:val="20"/>
        </w:rPr>
        <w:t xml:space="preserve">. (a)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and the approval of the Securities for book-entry transfer by DTC; and (ix) all expenses incurred by the Company in connection with any “road show” presentation to potential investors, including the investor presentation.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9(ii), (ii) the Company for any reason not permitted by this Agreement fails to tender the Securities for delivery to the Underwriters or (iii) the Underwriters decline to purchase the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(iii) a “covered FSI” as the term is defined in, and interpreted in accordance with, 12 C.F.R. § 382.2(b).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Miscellaneous</w:t>
      </w:r>
      <w:r>
        <w:rPr>
          <w:rFonts w:ascii="Times New Roman" w:hAnsi="Times New Roman"/>
          <w:sz w:val="20"/>
        </w:rPr>
        <w:t>. (a) </w:t>
      </w:r>
      <w:r>
        <w:rPr>
          <w:rFonts w:ascii="Times New Roman" w:hAnsi="Times New Roman"/>
          <w:i/>
          <w:sz w:val="20"/>
        </w:rPr>
        <w:t>Authority of the Representatives</w:t>
      </w:r>
      <w:r>
        <w:rPr>
          <w:rFonts w:ascii="Times New Roman" w:hAnsi="Times New Roman"/>
          <w:sz w:val="20"/>
        </w:rPr>
        <w:t xml:space="preserve">. Any action by the Underwriters hereunder may be taken by Citigroup Global Markets Inc., J.P. Morgan Securities LLC, PNC Capital Markets LLC and U.S. Bancorp Investments, Inc. on behalf of the Underwriters, and any such action taken by Citigroup Global Markets Inc., J.P. Morgan Securities LLC, PNC Capital Markets LLC and U.S. Bancorp Investments, Inc. shall be binding upon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Citigroup Global Markets Inc., 388 Greenwich Street, New York, New York 10013, Attention: General Counsel , facsimile: 646-291-1469; c/o J.P. Morgan Securities LLC, 270 Park Avenue, New York, New York 10017 (fax: 212-834-6081), Attention: Investment Grade Syndicate Desk; c/o PNC Capital Markets LLC, 300 Fifth Avenue, 10th Floor, Pittsburgh, Pennsylvania 15222, Attention: Debt Capital Markets, Fixed Income Transaction Execution, E-mail: capitalmarketsnotices@pnc.com; and c/o U.S. Bancorp Investments, Inc, 214 N. Tryon Street, 26th Floor, Charlotte, North Carolina 28202, Attention: High Grade Fixed Income – Debt Capital Markets (fax: (877) 774-3462). Notices to the Company shall be given to it at Two Seaport Lane, Suite 1400, Boston, MA 02210, (fax: 617-342-6208); Attention: Karen Kalita, Senior Vice President and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Submission to Jurisdiction</w:t>
      </w:r>
      <w:r>
        <w:rPr>
          <w:rFonts w:ascii="Times New Roman" w:hAnsi="Times New Roman"/>
          <w:sz w:val="20"/>
        </w:rPr>
        <w:t xml:space="preserve">.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a final judgment in any such suit, action or proceeding brought in such court shall be conclusive and binding upon the Company and may be enforced in any court to the jurisdiction of which Company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6"/>
        <w:gridCol w:w="60"/>
        <w:gridCol w:w="3486"/>
      </w:tblGrid>
      <w:tr>
        <w:trPr/>
        <w:tc>
          <w:tcPr>
            <w:tcW w:w="53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Cabot Corporation</w:t>
            </w:r>
          </w:p>
        </w:tc>
      </w:tr>
      <w:tr>
        <w:trPr>
          <w:trHeight w:val="240" w:hRule="atLeast"/>
        </w:trPr>
        <w:tc>
          <w:tcPr>
            <w:tcW w:w="536" w:type="dxa"/>
            <w:tcBorders/>
            <w:vAlign w:val="center"/>
          </w:tcPr>
          <w:p>
            <w:pPr>
              <w:pStyle w:val="TableContents"/>
              <w:bidi w:val="0"/>
              <w:spacing w:before="0" w:after="283"/>
              <w:jc w:val="left"/>
              <w:rPr>
                <w:sz w:val="4"/>
                <w:szCs w:val="4"/>
              </w:rPr>
            </w:pPr>
            <w:r>
              <w:rPr>
                <w:sz w:val="4"/>
                <w:szCs w:val="4"/>
              </w:rPr>
            </w:r>
          </w:p>
        </w:tc>
        <w:tc>
          <w:tcPr>
            <w:tcW w:w="3546" w:type="dxa"/>
            <w:gridSpan w:val="2"/>
            <w:tcBorders/>
            <w:vAlign w:val="center"/>
          </w:tcPr>
          <w:p>
            <w:pPr>
              <w:pStyle w:val="TableContents"/>
              <w:bidi w:val="0"/>
              <w:spacing w:before="0" w:after="283"/>
              <w:jc w:val="left"/>
              <w:rPr>
                <w:sz w:val="4"/>
                <w:szCs w:val="4"/>
              </w:rPr>
            </w:pPr>
            <w:r>
              <w:rPr>
                <w:sz w:val="4"/>
                <w:szCs w:val="4"/>
              </w:rPr>
            </w:r>
          </w:p>
        </w:tc>
      </w:tr>
      <w:tr>
        <w:trPr/>
        <w:tc>
          <w:tcPr>
            <w:tcW w:w="53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86" w:type="dxa"/>
            <w:tcBorders>
              <w:bottom w:val="single" w:sz="2" w:space="0" w:color="000000"/>
            </w:tcBorders>
            <w:tcMar>
              <w:bottom w:w="28" w:type="dxa"/>
            </w:tcMar>
          </w:tcPr>
          <w:p>
            <w:pPr>
              <w:pStyle w:val="TableContents"/>
              <w:bidi w:val="0"/>
              <w:spacing w:before="0" w:after="283"/>
              <w:jc w:val="left"/>
              <w:rPr/>
            </w:pPr>
            <w:r>
              <w:rPr/>
              <w:t>/s/ Erica McLaughlin</w:t>
            </w:r>
          </w:p>
        </w:tc>
      </w:tr>
      <w:tr>
        <w:trPr/>
        <w:tc>
          <w:tcPr>
            <w:tcW w:w="53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86" w:type="dxa"/>
            <w:tcBorders/>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the several </w:t>
      </w:r>
    </w:p>
    <w:p>
      <w:pPr>
        <w:pStyle w:val="TextBody"/>
        <w:bidi w:val="0"/>
        <w:spacing w:before="0" w:after="0"/>
        <w:jc w:val="left"/>
        <w:rPr>
          <w:rFonts w:ascii="Times New Roman" w:hAnsi="Times New Roman"/>
          <w:sz w:val="20"/>
        </w:rPr>
      </w:pPr>
      <w:r>
        <w:rPr>
          <w:rFonts w:ascii="Times New Roman" w:hAnsi="Times New Roman"/>
          <w:sz w:val="20"/>
        </w:rPr>
        <w:t xml:space="preserve">Underwriters listed in Schedule 1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35"/>
        <w:gridCol w:w="60"/>
        <w:gridCol w:w="3687"/>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7" w:type="dxa"/>
            <w:tcBorders>
              <w:bottom w:val="single" w:sz="2" w:space="0" w:color="000000"/>
            </w:tcBorders>
            <w:tcMar>
              <w:bottom w:w="28" w:type="dxa"/>
            </w:tcMar>
          </w:tcPr>
          <w:p>
            <w:pPr>
              <w:pStyle w:val="TableContents"/>
              <w:bidi w:val="0"/>
              <w:spacing w:before="0" w:after="283"/>
              <w:jc w:val="left"/>
              <w:rPr/>
            </w:pPr>
            <w:r>
              <w:rPr/>
              <w:t>/s/ Adam Bordner</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7" w:type="dxa"/>
            <w:tcBorders>
              <w:bottom w:val="single" w:sz="2" w:space="0" w:color="000000"/>
            </w:tcBorders>
            <w:tcMar>
              <w:bottom w:w="28" w:type="dxa"/>
            </w:tcMar>
          </w:tcPr>
          <w:p>
            <w:pPr>
              <w:pStyle w:val="TableContents"/>
              <w:bidi w:val="0"/>
              <w:spacing w:before="0" w:after="283"/>
              <w:jc w:val="left"/>
              <w:rPr/>
            </w:pPr>
            <w:r>
              <w:rPr/>
              <w:t>/s/ Som Bhattacharyya</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Capital Markets LLC</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7" w:type="dxa"/>
            <w:tcBorders>
              <w:bottom w:val="single" w:sz="2" w:space="0" w:color="000000"/>
            </w:tcBorders>
            <w:tcMar>
              <w:bottom w:w="28" w:type="dxa"/>
            </w:tcMar>
          </w:tcPr>
          <w:p>
            <w:pPr>
              <w:pStyle w:val="TableContents"/>
              <w:bidi w:val="0"/>
              <w:spacing w:before="0" w:after="283"/>
              <w:jc w:val="left"/>
              <w:rPr/>
            </w:pPr>
            <w:r>
              <w:rPr/>
              <w:t>/s/ Valerie Shadeck</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Bancorp Investments, Inc.</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7" w:type="dxa"/>
            <w:tcBorders>
              <w:bottom w:val="single" w:sz="2" w:space="0" w:color="000000"/>
            </w:tcBorders>
            <w:tcMar>
              <w:bottom w:w="28" w:type="dxa"/>
            </w:tcMar>
          </w:tcPr>
          <w:p>
            <w:pPr>
              <w:pStyle w:val="TableContents"/>
              <w:bidi w:val="0"/>
              <w:spacing w:before="0" w:after="283"/>
              <w:jc w:val="left"/>
              <w:rPr/>
            </w:pPr>
            <w:r>
              <w:rPr/>
              <w:t>/s/ William Carney</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68"/>
        <w:gridCol w:w="406"/>
        <w:gridCol w:w="190"/>
        <w:gridCol w:w="1678"/>
        <w:gridCol w:w="63"/>
      </w:tblGrid>
      <w:tr>
        <w:trPr/>
        <w:tc>
          <w:tcPr>
            <w:tcW w:w="7868"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8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406" w:type="dxa"/>
            <w:tcBorders/>
            <w:vAlign w:val="bottom"/>
          </w:tcPr>
          <w:p>
            <w:pPr>
              <w:pStyle w:val="TableContents"/>
              <w:bidi w:val="0"/>
              <w:spacing w:before="0" w:after="283"/>
              <w:jc w:val="left"/>
              <w:rPr/>
            </w:pPr>
            <w:r>
              <w:rPr/>
              <w:t>  </w:t>
            </w:r>
          </w:p>
        </w:tc>
        <w:tc>
          <w:tcPr>
            <w:tcW w:w="1868"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Securities</w:t>
            </w:r>
          </w:p>
        </w:tc>
        <w:tc>
          <w:tcPr>
            <w:tcW w:w="63" w:type="dxa"/>
            <w:tcBorders/>
            <w:vAlign w:val="bottom"/>
          </w:tcPr>
          <w:p>
            <w:pPr>
              <w:pStyle w:val="TableContents"/>
              <w:bidi w:val="0"/>
              <w:spacing w:before="0" w:after="283"/>
              <w:jc w:val="left"/>
              <w:rPr/>
            </w:pPr>
            <w:r>
              <w:rPr/>
              <w:t> </w:t>
            </w:r>
          </w:p>
        </w:tc>
      </w:tr>
      <w:tr>
        <w:trPr/>
        <w:tc>
          <w:tcPr>
            <w:tcW w:w="7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40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78" w:type="dxa"/>
            <w:tcBorders/>
            <w:shd w:fill="CCEEFF" w:val="clear"/>
            <w:vAlign w:val="bottom"/>
          </w:tcPr>
          <w:p>
            <w:pPr>
              <w:pStyle w:val="TableContents"/>
              <w:bidi w:val="0"/>
              <w:spacing w:before="0" w:after="283"/>
              <w:jc w:val="right"/>
              <w:rPr/>
            </w:pPr>
            <w:r>
              <w:rPr/>
              <w:t>63,000,000</w:t>
            </w:r>
          </w:p>
        </w:tc>
        <w:tc>
          <w:tcPr>
            <w:tcW w:w="63" w:type="dxa"/>
            <w:tcBorders/>
            <w:shd w:fill="CCEEFF" w:val="clear"/>
            <w:vAlign w:val="bottom"/>
          </w:tcPr>
          <w:p>
            <w:pPr>
              <w:pStyle w:val="TableContents"/>
              <w:bidi w:val="0"/>
              <w:spacing w:before="0" w:after="283"/>
              <w:jc w:val="left"/>
              <w:rPr/>
            </w:pPr>
            <w:r>
              <w:rPr/>
              <w:t> </w:t>
            </w:r>
          </w:p>
        </w:tc>
      </w:tr>
      <w:tr>
        <w:trPr/>
        <w:tc>
          <w:tcPr>
            <w:tcW w:w="7868"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40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678" w:type="dxa"/>
            <w:tcBorders/>
            <w:vAlign w:val="bottom"/>
          </w:tcPr>
          <w:p>
            <w:pPr>
              <w:pStyle w:val="TableContents"/>
              <w:bidi w:val="0"/>
              <w:spacing w:before="0" w:after="283"/>
              <w:jc w:val="right"/>
              <w:rPr/>
            </w:pPr>
            <w:r>
              <w:rPr/>
              <w:t>56,000,000</w:t>
            </w:r>
          </w:p>
        </w:tc>
        <w:tc>
          <w:tcPr>
            <w:tcW w:w="63" w:type="dxa"/>
            <w:tcBorders/>
            <w:vAlign w:val="bottom"/>
          </w:tcPr>
          <w:p>
            <w:pPr>
              <w:pStyle w:val="TableContents"/>
              <w:bidi w:val="0"/>
              <w:spacing w:before="0" w:after="283"/>
              <w:jc w:val="left"/>
              <w:rPr/>
            </w:pPr>
            <w:r>
              <w:rPr/>
              <w:t> </w:t>
            </w:r>
          </w:p>
        </w:tc>
      </w:tr>
      <w:tr>
        <w:trPr/>
        <w:tc>
          <w:tcPr>
            <w:tcW w:w="7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0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78" w:type="dxa"/>
            <w:tcBorders/>
            <w:shd w:fill="CCEEFF" w:val="clear"/>
            <w:vAlign w:val="bottom"/>
          </w:tcPr>
          <w:p>
            <w:pPr>
              <w:pStyle w:val="TableContents"/>
              <w:bidi w:val="0"/>
              <w:spacing w:before="0" w:after="283"/>
              <w:jc w:val="right"/>
              <w:rPr/>
            </w:pPr>
            <w:r>
              <w:rPr/>
              <w:t>56,000,000</w:t>
            </w:r>
          </w:p>
        </w:tc>
        <w:tc>
          <w:tcPr>
            <w:tcW w:w="63" w:type="dxa"/>
            <w:tcBorders/>
            <w:shd w:fill="CCEEFF" w:val="clear"/>
            <w:vAlign w:val="bottom"/>
          </w:tcPr>
          <w:p>
            <w:pPr>
              <w:pStyle w:val="TableContents"/>
              <w:bidi w:val="0"/>
              <w:spacing w:before="0" w:after="283"/>
              <w:jc w:val="left"/>
              <w:rPr/>
            </w:pPr>
            <w:r>
              <w:rPr/>
              <w:t> </w:t>
            </w:r>
          </w:p>
        </w:tc>
      </w:tr>
      <w:tr>
        <w:trPr/>
        <w:tc>
          <w:tcPr>
            <w:tcW w:w="7868"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40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678" w:type="dxa"/>
            <w:tcBorders/>
            <w:vAlign w:val="bottom"/>
          </w:tcPr>
          <w:p>
            <w:pPr>
              <w:pStyle w:val="TableContents"/>
              <w:bidi w:val="0"/>
              <w:spacing w:before="0" w:after="283"/>
              <w:jc w:val="right"/>
              <w:rPr/>
            </w:pPr>
            <w:r>
              <w:rPr/>
              <w:t>56,000,000</w:t>
            </w:r>
          </w:p>
        </w:tc>
        <w:tc>
          <w:tcPr>
            <w:tcW w:w="63" w:type="dxa"/>
            <w:tcBorders/>
            <w:vAlign w:val="bottom"/>
          </w:tcPr>
          <w:p>
            <w:pPr>
              <w:pStyle w:val="TableContents"/>
              <w:bidi w:val="0"/>
              <w:spacing w:before="0" w:after="283"/>
              <w:jc w:val="left"/>
              <w:rPr/>
            </w:pPr>
            <w:r>
              <w:rPr/>
              <w:t> </w:t>
            </w:r>
          </w:p>
        </w:tc>
      </w:tr>
      <w:tr>
        <w:trPr/>
        <w:tc>
          <w:tcPr>
            <w:tcW w:w="7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40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78" w:type="dxa"/>
            <w:tcBorders/>
            <w:shd w:fill="CCEEFF" w:val="clear"/>
            <w:vAlign w:val="bottom"/>
          </w:tcPr>
          <w:p>
            <w:pPr>
              <w:pStyle w:val="TableContents"/>
              <w:bidi w:val="0"/>
              <w:spacing w:before="0" w:after="283"/>
              <w:jc w:val="right"/>
              <w:rPr/>
            </w:pPr>
            <w:r>
              <w:rPr/>
              <w:t>29,750,000</w:t>
            </w:r>
          </w:p>
        </w:tc>
        <w:tc>
          <w:tcPr>
            <w:tcW w:w="63" w:type="dxa"/>
            <w:tcBorders/>
            <w:shd w:fill="CCEEFF" w:val="clear"/>
            <w:vAlign w:val="bottom"/>
          </w:tcPr>
          <w:p>
            <w:pPr>
              <w:pStyle w:val="TableContents"/>
              <w:bidi w:val="0"/>
              <w:spacing w:before="0" w:after="283"/>
              <w:jc w:val="left"/>
              <w:rPr/>
            </w:pPr>
            <w:r>
              <w:rPr/>
              <w:t> </w:t>
            </w:r>
          </w:p>
        </w:tc>
      </w:tr>
      <w:tr>
        <w:trPr/>
        <w:tc>
          <w:tcPr>
            <w:tcW w:w="7868"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40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678" w:type="dxa"/>
            <w:tcBorders/>
            <w:vAlign w:val="bottom"/>
          </w:tcPr>
          <w:p>
            <w:pPr>
              <w:pStyle w:val="TableContents"/>
              <w:bidi w:val="0"/>
              <w:spacing w:before="0" w:after="283"/>
              <w:jc w:val="right"/>
              <w:rPr/>
            </w:pPr>
            <w:r>
              <w:rPr/>
              <w:t>29,750,000</w:t>
            </w:r>
          </w:p>
        </w:tc>
        <w:tc>
          <w:tcPr>
            <w:tcW w:w="63" w:type="dxa"/>
            <w:tcBorders/>
            <w:vAlign w:val="bottom"/>
          </w:tcPr>
          <w:p>
            <w:pPr>
              <w:pStyle w:val="TableContents"/>
              <w:bidi w:val="0"/>
              <w:spacing w:before="0" w:after="283"/>
              <w:jc w:val="left"/>
              <w:rPr/>
            </w:pPr>
            <w:r>
              <w:rPr/>
              <w:t> </w:t>
            </w:r>
          </w:p>
        </w:tc>
      </w:tr>
      <w:tr>
        <w:trPr/>
        <w:tc>
          <w:tcPr>
            <w:tcW w:w="7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40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78" w:type="dxa"/>
            <w:tcBorders/>
            <w:shd w:fill="CCEEFF" w:val="clear"/>
            <w:vAlign w:val="bottom"/>
          </w:tcPr>
          <w:p>
            <w:pPr>
              <w:pStyle w:val="TableContents"/>
              <w:bidi w:val="0"/>
              <w:spacing w:before="0" w:after="283"/>
              <w:jc w:val="right"/>
              <w:rPr/>
            </w:pPr>
            <w:r>
              <w:rPr/>
              <w:t>28,000,000</w:t>
            </w:r>
          </w:p>
        </w:tc>
        <w:tc>
          <w:tcPr>
            <w:tcW w:w="63" w:type="dxa"/>
            <w:tcBorders/>
            <w:shd w:fill="CCEEFF" w:val="clear"/>
            <w:vAlign w:val="bottom"/>
          </w:tcPr>
          <w:p>
            <w:pPr>
              <w:pStyle w:val="TableContents"/>
              <w:bidi w:val="0"/>
              <w:spacing w:before="0" w:after="283"/>
              <w:jc w:val="left"/>
              <w:rPr/>
            </w:pPr>
            <w:r>
              <w:rPr/>
              <w:t> </w:t>
            </w:r>
          </w:p>
        </w:tc>
      </w:tr>
      <w:tr>
        <w:trPr/>
        <w:tc>
          <w:tcPr>
            <w:tcW w:w="7868"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40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678" w:type="dxa"/>
            <w:tcBorders/>
            <w:vAlign w:val="bottom"/>
          </w:tcPr>
          <w:p>
            <w:pPr>
              <w:pStyle w:val="TableContents"/>
              <w:bidi w:val="0"/>
              <w:spacing w:before="0" w:after="283"/>
              <w:jc w:val="right"/>
              <w:rPr/>
            </w:pPr>
            <w:r>
              <w:rPr/>
              <w:t>10,500,000</w:t>
            </w:r>
          </w:p>
        </w:tc>
        <w:tc>
          <w:tcPr>
            <w:tcW w:w="63" w:type="dxa"/>
            <w:tcBorders/>
            <w:vAlign w:val="bottom"/>
          </w:tcPr>
          <w:p>
            <w:pPr>
              <w:pStyle w:val="TableContents"/>
              <w:bidi w:val="0"/>
              <w:spacing w:before="0" w:after="283"/>
              <w:jc w:val="left"/>
              <w:rPr/>
            </w:pPr>
            <w:r>
              <w:rPr/>
              <w:t> </w:t>
            </w:r>
          </w:p>
        </w:tc>
      </w:tr>
      <w:tr>
        <w:trPr/>
        <w:tc>
          <w:tcPr>
            <w:tcW w:w="7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40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78" w:type="dxa"/>
            <w:tcBorders/>
            <w:shd w:fill="CCEEFF" w:val="clear"/>
            <w:vAlign w:val="bottom"/>
          </w:tcPr>
          <w:p>
            <w:pPr>
              <w:pStyle w:val="TableContents"/>
              <w:bidi w:val="0"/>
              <w:spacing w:before="0" w:after="283"/>
              <w:jc w:val="right"/>
              <w:rPr/>
            </w:pPr>
            <w:r>
              <w:rPr/>
              <w:t>10,500,000</w:t>
            </w:r>
          </w:p>
        </w:tc>
        <w:tc>
          <w:tcPr>
            <w:tcW w:w="63" w:type="dxa"/>
            <w:tcBorders/>
            <w:shd w:fill="CCEEFF" w:val="clear"/>
            <w:vAlign w:val="bottom"/>
          </w:tcPr>
          <w:p>
            <w:pPr>
              <w:pStyle w:val="TableContents"/>
              <w:bidi w:val="0"/>
              <w:spacing w:before="0" w:after="283"/>
              <w:jc w:val="left"/>
              <w:rPr/>
            </w:pPr>
            <w:r>
              <w:rPr/>
              <w:t> </w:t>
            </w:r>
          </w:p>
        </w:tc>
      </w:tr>
      <w:tr>
        <w:trPr/>
        <w:tc>
          <w:tcPr>
            <w:tcW w:w="7868"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40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678" w:type="dxa"/>
            <w:tcBorders/>
            <w:vAlign w:val="bottom"/>
          </w:tcPr>
          <w:p>
            <w:pPr>
              <w:pStyle w:val="TableContents"/>
              <w:bidi w:val="0"/>
              <w:spacing w:before="0" w:after="283"/>
              <w:jc w:val="right"/>
              <w:rPr/>
            </w:pPr>
            <w:r>
              <w:rPr/>
              <w:t>10,500,000</w:t>
            </w:r>
          </w:p>
        </w:tc>
        <w:tc>
          <w:tcPr>
            <w:tcW w:w="63" w:type="dxa"/>
            <w:tcBorders/>
            <w:vAlign w:val="bottom"/>
          </w:tcPr>
          <w:p>
            <w:pPr>
              <w:pStyle w:val="TableContents"/>
              <w:bidi w:val="0"/>
              <w:spacing w:before="0" w:after="283"/>
              <w:jc w:val="left"/>
              <w:rPr/>
            </w:pPr>
            <w:r>
              <w:rPr/>
              <w:t> </w:t>
            </w:r>
          </w:p>
        </w:tc>
      </w:tr>
      <w:tr>
        <w:trPr/>
        <w:tc>
          <w:tcPr>
            <w:tcW w:w="78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b/>
              </w:rPr>
            </w:pPr>
            <w:r>
              <w:rPr>
                <w:b/>
              </w:rPr>
              <w:t>$</w:t>
            </w:r>
          </w:p>
        </w:tc>
        <w:tc>
          <w:tcPr>
            <w:tcW w:w="1678" w:type="dxa"/>
            <w:tcBorders/>
            <w:shd w:fill="CCEEFF" w:val="clear"/>
            <w:vAlign w:val="bottom"/>
          </w:tcPr>
          <w:p>
            <w:pPr>
              <w:pStyle w:val="TableContents"/>
              <w:bidi w:val="0"/>
              <w:spacing w:before="0" w:after="283"/>
              <w:jc w:val="right"/>
              <w:rPr>
                <w:b/>
              </w:rPr>
            </w:pPr>
            <w:r>
              <w:rPr>
                <w:b/>
              </w:rPr>
              <w:t>350,000,000</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240" w:after="0"/>
        <w:jc w:val="left"/>
        <w:rPr>
          <w:rFonts w:ascii="Times New Roman" w:hAnsi="Times New Roman"/>
          <w:b/>
          <w:sz w:val="20"/>
        </w:rPr>
      </w:pPr>
      <w:r>
        <w:rPr>
          <w:rFonts w:ascii="Times New Roman" w:hAnsi="Times New Roman"/>
          <w:b/>
          <w:sz w:val="20"/>
        </w:rPr>
        <w:t xml:space="preserve">Time of Sale Information </w:t>
      </w:r>
    </w:p>
    <w:p>
      <w:pPr>
        <w:pStyle w:val="TextBody"/>
        <w:bidi w:val="0"/>
        <w:spacing w:before="240" w:after="0"/>
        <w:jc w:val="left"/>
        <w:rPr>
          <w:rFonts w:ascii="Times New Roman" w:hAnsi="Times New Roman"/>
          <w:sz w:val="20"/>
        </w:rPr>
      </w:pPr>
      <w:r>
        <w:rPr>
          <w:rFonts w:ascii="Times New Roman" w:hAnsi="Times New Roman"/>
          <w:sz w:val="20"/>
        </w:rPr>
        <w:t xml:space="preserve">1. Pricing Term Sheet dated August 12,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 </w:t>
      </w:r>
    </w:p>
    <w:p>
      <w:pPr>
        <w:pStyle w:val="TextBody"/>
        <w:bidi w:val="0"/>
        <w:spacing w:before="240" w:after="0"/>
        <w:jc w:val="right"/>
        <w:rPr>
          <w:rFonts w:ascii="Times New Roman" w:hAnsi="Times New Roman"/>
          <w:b/>
          <w:sz w:val="20"/>
        </w:rPr>
      </w:pPr>
      <w:r>
        <w:rPr>
          <w:rFonts w:ascii="Times New Roman" w:hAnsi="Times New Roman"/>
          <w:b/>
          <w:sz w:val="20"/>
        </w:rPr>
        <w:t xml:space="preserve">Issuer Free Writing Prospectus, dated August 12, 2026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Supplementing the Preliminary Prospectus Supplement, dated August 12,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333-276078 </w:t>
      </w:r>
    </w:p>
    <w:p>
      <w:pPr>
        <w:pStyle w:val="TextBody"/>
        <w:bidi w:val="0"/>
        <w:spacing w:before="240" w:after="0"/>
        <w:jc w:val="center"/>
        <w:rPr>
          <w:rFonts w:ascii="Times New Roman" w:hAnsi="Times New Roman"/>
          <w:b/>
          <w:sz w:val="20"/>
        </w:rPr>
      </w:pPr>
      <w:r>
        <w:rPr>
          <w:rFonts w:ascii="Times New Roman" w:hAnsi="Times New Roman"/>
          <w:b/>
          <w:sz w:val="20"/>
        </w:rPr>
        <w:t xml:space="preserve">Cabot Corporation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Pricing Term Sheet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$350,000,000 4.950% Senior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Issuer:</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Cabot Corporation</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Security Type: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Senior Unsecured Notes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Principal Amount:</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$350,000,000</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Maturity Date: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August 15, 2029</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Coupon:</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4.950%</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Price to Public:</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99.993%</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Yield to Maturity:</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4.953%</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Benchmark Treasury:</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4.125% due July 15, 2029</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Benchmark Treasury Price and Yield:</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99-20 3⁄4; 4.253%</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Re-Offer Spread to Benchmark Treasury:</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+70 bps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Interest Payment Dates: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February 15 and August 15, commencing February 15, 2027</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Denominations: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$2,000 and integral multiples of $1,000 in excess thereof</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Optional Redemption:</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Prior to July 15, 2029 (one month prior to the maturity date of the notes) (the “Par Call Date”): redeemable at Issuer’s option, in whole or in part, at a redemption price equal to the greater of (i)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interest accrued to the date of redemption, and (ii) 100% of the principal amount, plus, in either case, accrued and unpaid interest, if any, to, but excluding, the redemption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On or after the Par Call Date, redeemable at Issuer’s option, in whole or in part, at a redemption price equal to 100% principal amount, plus accrued and unpaid interest, if any, to, but excluding, the redemption date.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Settlement Date: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August 21, 2026 (T+7)</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Delivery of the notes is expected to be made against payment for the notes on August 21, 2026, which will be the seventh business day following the date hereof (this settlement cycle being referred to as “T+7”).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T+7, to specify alternate settlement arrangements at the time of any such trade to prevent a failed settlement. Purchasers of the notes who wish to trade the notes on any date prior to the business day before delivery should consult their own advisers.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Legal Format:</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SEC registered</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Change of Control Triggering Event:</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Upon a Change of Control Triggering Event, holders may cause Issuer to repurchase the notes at 101% of their face amount, plus accrued and unpaid interest, if any, to, but excluding, the repurchase date.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CUSIP/ISIN:</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127055 AN1 / US127055AN16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Expected Ratings (Moody’s / S&amp;P)*:</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[Intentionally Omitted]</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Joint Book-Running Managers: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Citigroup Global Markets Inc.</w:t>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J.P. Morgan Securities LLC</w:t>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PNC Capital Markets LLC</w:t>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U.S. Bancorp Investments, Inc.</w:t>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BofA Securities, Inc.</w:t>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BBVA Securities Inc.</w:t>
            </w:r>
          </w:p>
        </w:tc>
      </w:tr>
      <w:tr>
        <w:trPr/>
        <w:tc>
          <w:tcPr>
            <w:tcW w:w="316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ING Financial Markets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62"/>
        <w:gridCol w:w="203"/>
        <w:gridCol w:w="6840"/>
      </w:tblGrid>
      <w:tr>
        <w:trPr/>
        <w:tc>
          <w:tcPr>
            <w:tcW w:w="316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4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162" w:type="dxa"/>
            <w:tcBorders/>
            <w:vAlign w:val="center"/>
          </w:tcPr>
          <w:p>
            <w:pPr>
              <w:pStyle w:val="TableContents"/>
              <w:bidi w:val="0"/>
              <w:spacing w:before="0" w:after="283"/>
              <w:jc w:val="left"/>
              <w:rPr>
                <w:sz w:val="4"/>
                <w:szCs w:val="4"/>
              </w:rPr>
            </w:pPr>
            <w:r>
              <w:rPr>
                <w:sz w:val="4"/>
                <w:szCs w:val="4"/>
              </w:rPr>
            </w:r>
          </w:p>
        </w:tc>
        <w:tc>
          <w:tcPr>
            <w:tcW w:w="7043" w:type="dxa"/>
            <w:gridSpan w:val="2"/>
            <w:tcBorders/>
            <w:vAlign w:val="center"/>
          </w:tcPr>
          <w:p>
            <w:pPr>
              <w:pStyle w:val="TableContents"/>
              <w:bidi w:val="0"/>
              <w:spacing w:before="0" w:after="283"/>
              <w:jc w:val="left"/>
              <w:rPr>
                <w:sz w:val="4"/>
                <w:szCs w:val="4"/>
              </w:rPr>
            </w:pPr>
            <w:r>
              <w:rPr>
                <w:sz w:val="4"/>
                <w:szCs w:val="4"/>
              </w:rPr>
            </w:r>
          </w:p>
        </w:tc>
      </w:tr>
      <w:tr>
        <w:trPr/>
        <w:tc>
          <w:tcPr>
            <w:tcW w:w="3162" w:type="dxa"/>
            <w:tcBorders/>
          </w:tcPr>
          <w:p>
            <w:pPr>
              <w:pStyle w:val="TableContents"/>
              <w:bidi w:val="0"/>
              <w:spacing w:before="0" w:after="283"/>
              <w:jc w:val="left"/>
              <w:rPr/>
            </w:pPr>
            <w:r>
              <w:rPr/>
              <w:t>Co-Managers:</w:t>
            </w:r>
          </w:p>
        </w:tc>
        <w:tc>
          <w:tcPr>
            <w:tcW w:w="203" w:type="dxa"/>
            <w:tcBorders/>
            <w:vAlign w:val="bottom"/>
          </w:tcPr>
          <w:p>
            <w:pPr>
              <w:pStyle w:val="TableContents"/>
              <w:bidi w:val="0"/>
              <w:spacing w:before="0" w:after="283"/>
              <w:jc w:val="left"/>
              <w:rPr/>
            </w:pPr>
            <w:r>
              <w:rPr/>
              <w:t>  </w:t>
            </w:r>
          </w:p>
        </w:tc>
        <w:tc>
          <w:tcPr>
            <w:tcW w:w="6840" w:type="dxa"/>
            <w:tcBorders/>
          </w:tcPr>
          <w:p>
            <w:pPr>
              <w:pStyle w:val="TableContents"/>
              <w:bidi w:val="0"/>
              <w:spacing w:before="0" w:after="283"/>
              <w:jc w:val="left"/>
              <w:rPr/>
            </w:pPr>
            <w:r>
              <w:rPr/>
              <w:t>HSBC Securities (USA) Inc.</w:t>
            </w:r>
          </w:p>
        </w:tc>
      </w:tr>
      <w:tr>
        <w:trPr/>
        <w:tc>
          <w:tcPr>
            <w:tcW w:w="316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40" w:type="dxa"/>
            <w:tcBorders/>
          </w:tcPr>
          <w:p>
            <w:pPr>
              <w:pStyle w:val="TableContents"/>
              <w:bidi w:val="0"/>
              <w:spacing w:before="0" w:after="283"/>
              <w:jc w:val="left"/>
              <w:rPr/>
            </w:pPr>
            <w:r>
              <w:rPr/>
              <w:t>Loop Capital Markets LLC</w:t>
            </w:r>
          </w:p>
        </w:tc>
      </w:tr>
      <w:tr>
        <w:trPr/>
        <w:tc>
          <w:tcPr>
            <w:tcW w:w="316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840" w:type="dxa"/>
            <w:tcBorders/>
          </w:tcPr>
          <w:p>
            <w:pPr>
              <w:pStyle w:val="TableContents"/>
              <w:bidi w:val="0"/>
              <w:spacing w:before="0" w:after="283"/>
              <w:jc w:val="left"/>
              <w:rPr/>
            </w:pPr>
            <w:r>
              <w:rPr/>
              <w:t>Morgan Stanley &amp; Co. LLC</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explanation of the significance of ratings may be obtained from the rating agencies. Generally, rating agencies base their ratings on such material and information, and such of their own investigations, studies and assumptions, as they deem appropriate. The rating of the notes should be evaluated independently from similar ratings of other securities. A credit rating of a security is not a recommendation to buy, sell or hold securities and may be subject to review, revision, suspension, reduction or withdrawal at any time by the assigning rating agency.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communication is intended for the sole use of the person to whom it is provided by us.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filed a registration statement (including a prospectus) and a prospectus supplement with the U.S. Securities and Exchange Commission (“SEC”) for the offering to which this communication relates. Before you invest, you should read the prospectus supplement for this offering, the prospectus in that registration statement and the documents the Issuer has filed with the SEC that are incorporated by reference in the foregoing for more complete information about the Issuer and this offering. You may get these documents for free by visiting EDGAR on the SEC web site at http://www.sec.gov. Alternatively, the Issuer, any underwriter or any dealer participating in the offering will arrange to send you copies of the prospectus supplement and prospectus if you request them by calling Citigroup Global Markets Inc. toll-free at (800) 831-9146, J.P. Morgan Securities LLC collect at (212) 834-4533, PNC Capital Markets LLC toll-free at (855) 881-0697, or U.S. Bancorp Investments, Inc. toll-free at (877) 558-2607. </w:t>
      </w:r>
    </w:p>
    <w:p>
      <w:pPr>
        <w:pStyle w:val="TextBody"/>
        <w:bidi w:val="0"/>
        <w:spacing w:before="240" w:after="0"/>
        <w:jc w:val="left"/>
        <w:rPr>
          <w:rFonts w:ascii="Times New Roman" w:hAnsi="Times New Roman"/>
          <w:sz w:val="20"/>
        </w:rPr>
      </w:pPr>
      <w:r>
        <w:rPr>
          <w:rFonts w:ascii="Times New Roman" w:hAnsi="Times New Roman"/>
          <w:sz w:val="20"/>
        </w:rPr>
        <w:t xml:space="preserve">This pricing term sheet supplements the preliminary prospectus supplement issued by Cabot Corporation on August 12, 2026 relating to the base prospectus dated December 15,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C </w:t>
      </w:r>
    </w:p>
    <w:p>
      <w:pPr>
        <w:pStyle w:val="TextBody"/>
        <w:bidi w:val="0"/>
        <w:spacing w:before="240" w:after="0"/>
        <w:jc w:val="left"/>
        <w:rPr>
          <w:rFonts w:ascii="Times New Roman" w:hAnsi="Times New Roman"/>
          <w:sz w:val="20"/>
        </w:rPr>
      </w:pPr>
      <w:r>
        <w:rPr>
          <w:rFonts w:ascii="Times New Roman" w:hAnsi="Times New Roman"/>
          <w:sz w:val="20"/>
        </w:rPr>
        <w:t xml:space="preserve">Electronic (Netroadshow) investor presentation of the Company made available on August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p>
    <w:p>
      <w:pPr>
        <w:pStyle w:val="TextBody"/>
        <w:bidi w:val="0"/>
        <w:spacing w:before="0" w:after="0"/>
        <w:jc w:val="right"/>
        <w:rPr>
          <w:rFonts w:ascii="Times New Roman" w:hAnsi="Times New Roman"/>
          <w:b/>
          <w:sz w:val="20"/>
        </w:rPr>
      </w:pPr>
      <w:bookmarkStart w:id="4" w:name="d222203dex991.htm"/>
      <w:bookmarkStart w:id="5" w:name="ksd222203dex991"/>
      <w:bookmarkEnd w:id="4"/>
      <w:bookmarkEnd w:id="5"/>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Information Relating to Part II. </w:t>
      </w:r>
    </w:p>
    <w:p>
      <w:pPr>
        <w:pStyle w:val="TextBody"/>
        <w:bidi w:val="0"/>
        <w:spacing w:before="12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expenses in connection with the offer and sale by Cabot Corporation of $350 million aggregate principal amount of 4.950% notes due 2029, registered pursuant to an automatically effective shelf registration statement on Form S-3ASR (Registration No. 333-276078) that was filed with the Securities and Exchange Commission (the “SEC”) on December 15, 2023, other than underwriting discounts and commissions, are set forth in the following table. All amounts are estimated except the SEC registration fee under the Securities Act of 1933, as amended (the “Securities Act”).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344"/>
        <w:gridCol w:w="142"/>
        <w:gridCol w:w="1052"/>
        <w:gridCol w:w="63"/>
      </w:tblGrid>
      <w:tr>
        <w:trPr/>
        <w:tc>
          <w:tcPr>
            <w:tcW w:w="5338"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 under the Securities Act</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48,332</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300,000</w:t>
            </w:r>
          </w:p>
        </w:tc>
        <w:tc>
          <w:tcPr>
            <w:tcW w:w="63"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Rating agency fees</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586,250</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110,000</w:t>
            </w:r>
          </w:p>
        </w:tc>
        <w:tc>
          <w:tcPr>
            <w:tcW w:w="63"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4,500</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4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5,918</w:t>
            </w:r>
          </w:p>
        </w:tc>
        <w:tc>
          <w:tcPr>
            <w:tcW w:w="63"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1,080,000</w:t>
            </w:r>
          </w:p>
        </w:tc>
        <w:tc>
          <w:tcPr>
            <w:tcW w:w="63"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17563</Words>
  <Characters>93902</Characters>
  <CharactersWithSpaces>111499</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