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March 12, 2026</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CABOT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0" w:lineRule="exact"/>
        <w:rPr>
          <w:sz w:val="24"/>
          <w:szCs w:val="24"/>
          <w:color w:val="auto"/>
        </w:rPr>
      </w:pPr>
    </w:p>
    <w:p>
      <w:pPr>
        <w:spacing w:after="0" w:line="23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1-5667</w:t>
            </w:r>
          </w:p>
        </w:tc>
        <w:tc>
          <w:tcPr>
            <w:tcW w:w="506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8"/>
              </w:rPr>
              <w:t>04-2271897</w:t>
            </w:r>
          </w:p>
        </w:tc>
      </w:tr>
      <w:tr>
        <w:trPr>
          <w:trHeight w:val="234"/>
        </w:trPr>
        <w:tc>
          <w:tcPr>
            <w:tcW w:w="33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(Commission File Number)</w:t>
            </w:r>
          </w:p>
        </w:tc>
        <w:tc>
          <w:tcPr>
            <w:tcW w:w="506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26"/>
        </w:trPr>
        <w:tc>
          <w:tcPr>
            <w:tcW w:w="3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TWO SEAPORT LANE, SUITE 1400,</w:t>
            </w:r>
          </w:p>
        </w:tc>
        <w:tc>
          <w:tcPr>
            <w:tcW w:w="5060" w:type="dxa"/>
            <w:vAlign w:val="bottom"/>
          </w:tcPr>
          <w:p>
            <w:pPr>
              <w:spacing w:after="0"/>
              <w:rPr>
                <w:sz w:val="24"/>
                <w:szCs w:val="24"/>
                <w:color w:val="auto"/>
              </w:rPr>
            </w:pPr>
          </w:p>
        </w:tc>
      </w:tr>
      <w:tr>
        <w:trPr>
          <w:trHeight w:val="234"/>
        </w:trPr>
        <w:tc>
          <w:tcPr>
            <w:tcW w:w="3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506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8"/>
              </w:rPr>
              <w:t>02210-2019</w:t>
            </w:r>
          </w:p>
        </w:tc>
      </w:tr>
      <w:tr>
        <w:trPr>
          <w:trHeight w:val="234"/>
        </w:trPr>
        <w:tc>
          <w:tcPr>
            <w:tcW w:w="33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06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3340" w:type="dxa"/>
            <w:vAlign w:val="bottom"/>
          </w:tcPr>
          <w:p>
            <w:pPr>
              <w:spacing w:after="0"/>
              <w:rPr>
                <w:sz w:val="24"/>
                <w:szCs w:val="24"/>
                <w:color w:val="auto"/>
              </w:rPr>
            </w:pPr>
          </w:p>
        </w:tc>
        <w:tc>
          <w:tcPr>
            <w:tcW w:w="5060" w:type="dxa"/>
            <w:vAlign w:val="bottom"/>
          </w:tcPr>
          <w:p>
            <w:pPr>
              <w:jc w:val="right"/>
              <w:ind w:right="3490"/>
              <w:spacing w:after="0"/>
              <w:rPr>
                <w:sz w:val="20"/>
                <w:szCs w:val="20"/>
                <w:color w:val="auto"/>
              </w:rPr>
            </w:pPr>
            <w:r>
              <w:rPr>
                <w:rFonts w:ascii="Times New Roman" w:cs="Times New Roman" w:eastAsia="Times New Roman" w:hAnsi="Times New Roman"/>
                <w:sz w:val="18"/>
                <w:szCs w:val="18"/>
                <w:b w:val="1"/>
                <w:bCs w:val="1"/>
                <w:color w:val="auto"/>
              </w:rPr>
              <w:t>(617) 345-0100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60" w:hanging="343"/>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 w:name="page2"/>
    <w:bookmarkEnd w:id="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3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4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 per share</w:t>
            </w:r>
          </w:p>
        </w:tc>
        <w:tc>
          <w:tcPr>
            <w:tcW w:w="160" w:type="dxa"/>
            <w:vAlign w:val="bottom"/>
            <w:vMerge w:val="continue"/>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CBT</w:t>
            </w:r>
          </w:p>
        </w:tc>
        <w:tc>
          <w:tcPr>
            <w:tcW w:w="140" w:type="dxa"/>
            <w:vAlign w:val="bottom"/>
            <w:vMerge w:val="continue"/>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New York Stock Exchange</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37"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On March 12, 2026, the Company held its annual meeting of stockholders pursuant to notice duly given. The Company’s stockholders voted on the following three proposals and cast their votes as set forth below.</w:t>
      </w:r>
    </w:p>
    <w:p>
      <w:pPr>
        <w:spacing w:after="0" w:line="185" w:lineRule="exact"/>
        <w:rPr>
          <w:sz w:val="20"/>
          <w:szCs w:val="20"/>
          <w:color w:val="auto"/>
        </w:rPr>
      </w:pPr>
    </w:p>
    <w:p>
      <w:pPr>
        <w:ind w:left="760" w:right="240" w:hanging="378"/>
        <w:spacing w:after="0" w:line="258"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of the Board’s nominees for director were elected to the class of directors whose term expires in 2029 by the votes set forth in the table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20" w:type="dxa"/>
            <w:vAlign w:val="bottom"/>
            <w:tcBorders>
              <w:top w:val="single" w:sz="8" w:color="auto"/>
              <w:bottom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For</w:t>
            </w:r>
          </w:p>
        </w:tc>
        <w:tc>
          <w:tcPr>
            <w:tcW w:w="2020" w:type="dxa"/>
            <w:vAlign w:val="bottom"/>
            <w:tcBorders>
              <w:top w:val="single" w:sz="8" w:color="auto"/>
              <w:bottom w:val="single" w:sz="8" w:color="auto"/>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Against</w:t>
            </w:r>
          </w:p>
        </w:tc>
        <w:tc>
          <w:tcPr>
            <w:tcW w:w="1780" w:type="dxa"/>
            <w:vAlign w:val="bottom"/>
            <w:tcBorders>
              <w:top w:val="single" w:sz="8" w:color="auto"/>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Abstain</w:t>
            </w:r>
          </w:p>
        </w:tc>
        <w:tc>
          <w:tcPr>
            <w:tcW w:w="2480" w:type="dxa"/>
            <w:vAlign w:val="bottom"/>
            <w:tcBorders>
              <w:top w:val="single" w:sz="8" w:color="auto"/>
              <w:bottom w:val="single" w:sz="8" w:color="auto"/>
              <w:right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Broker Non-Votes</w:t>
            </w:r>
          </w:p>
        </w:tc>
      </w:tr>
      <w:tr>
        <w:trPr>
          <w:trHeight w:val="220"/>
        </w:trPr>
        <w:tc>
          <w:tcPr>
            <w:tcW w:w="27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Sean D. Keohane</w:t>
            </w:r>
          </w:p>
        </w:tc>
        <w:tc>
          <w:tcPr>
            <w:tcW w:w="2020" w:type="dxa"/>
            <w:vAlign w:val="bottom"/>
            <w:tcBorders>
              <w:bottom w:val="single" w:sz="8" w:color="auto"/>
              <w:right w:val="single" w:sz="8" w:color="auto"/>
            </w:tcBorders>
          </w:tcPr>
          <w:p>
            <w:pPr>
              <w:jc w:val="right"/>
              <w:ind w:right="12"/>
              <w:spacing w:after="0" w:line="220" w:lineRule="exact"/>
              <w:rPr>
                <w:sz w:val="20"/>
                <w:szCs w:val="20"/>
                <w:color w:val="auto"/>
              </w:rPr>
            </w:pPr>
            <w:r>
              <w:rPr>
                <w:rFonts w:ascii="Times New Roman" w:cs="Times New Roman" w:eastAsia="Times New Roman" w:hAnsi="Times New Roman"/>
                <w:sz w:val="22"/>
                <w:szCs w:val="22"/>
                <w:color w:val="auto"/>
              </w:rPr>
              <w:t>44,953,132</w:t>
            </w:r>
          </w:p>
        </w:tc>
        <w:tc>
          <w:tcPr>
            <w:tcW w:w="2020" w:type="dxa"/>
            <w:vAlign w:val="bottom"/>
            <w:tcBorders>
              <w:bottom w:val="single" w:sz="8" w:color="auto"/>
              <w:right w:val="single" w:sz="8" w:color="auto"/>
            </w:tcBorders>
          </w:tcPr>
          <w:p>
            <w:pPr>
              <w:jc w:val="right"/>
              <w:ind w:right="12"/>
              <w:spacing w:after="0" w:line="220" w:lineRule="exact"/>
              <w:rPr>
                <w:sz w:val="20"/>
                <w:szCs w:val="20"/>
                <w:color w:val="auto"/>
              </w:rPr>
            </w:pPr>
            <w:r>
              <w:rPr>
                <w:rFonts w:ascii="Times New Roman" w:cs="Times New Roman" w:eastAsia="Times New Roman" w:hAnsi="Times New Roman"/>
                <w:sz w:val="22"/>
                <w:szCs w:val="22"/>
                <w:color w:val="auto"/>
              </w:rPr>
              <w:t>568,330</w:t>
            </w:r>
          </w:p>
        </w:tc>
        <w:tc>
          <w:tcPr>
            <w:tcW w:w="1780" w:type="dxa"/>
            <w:vAlign w:val="bottom"/>
            <w:tcBorders>
              <w:bottom w:val="single" w:sz="8" w:color="auto"/>
              <w:right w:val="single" w:sz="8" w:color="auto"/>
            </w:tcBorders>
          </w:tcPr>
          <w:p>
            <w:pPr>
              <w:jc w:val="right"/>
              <w:ind w:right="12"/>
              <w:spacing w:after="0" w:line="220" w:lineRule="exact"/>
              <w:rPr>
                <w:sz w:val="20"/>
                <w:szCs w:val="20"/>
                <w:color w:val="auto"/>
              </w:rPr>
            </w:pPr>
            <w:r>
              <w:rPr>
                <w:rFonts w:ascii="Times New Roman" w:cs="Times New Roman" w:eastAsia="Times New Roman" w:hAnsi="Times New Roman"/>
                <w:sz w:val="22"/>
                <w:szCs w:val="22"/>
                <w:color w:val="auto"/>
              </w:rPr>
              <w:t>13,664</w:t>
            </w:r>
          </w:p>
        </w:tc>
        <w:tc>
          <w:tcPr>
            <w:tcW w:w="2480" w:type="dxa"/>
            <w:vAlign w:val="bottom"/>
            <w:tcBorders>
              <w:bottom w:val="single" w:sz="8" w:color="auto"/>
              <w:right w:val="single" w:sz="8" w:color="auto"/>
            </w:tcBorders>
          </w:tcPr>
          <w:p>
            <w:pPr>
              <w:jc w:val="right"/>
              <w:ind w:right="12"/>
              <w:spacing w:after="0" w:line="220" w:lineRule="exact"/>
              <w:rPr>
                <w:sz w:val="20"/>
                <w:szCs w:val="20"/>
                <w:color w:val="auto"/>
              </w:rPr>
            </w:pPr>
            <w:r>
              <w:rPr>
                <w:rFonts w:ascii="Times New Roman" w:cs="Times New Roman" w:eastAsia="Times New Roman" w:hAnsi="Times New Roman"/>
                <w:sz w:val="22"/>
                <w:szCs w:val="22"/>
                <w:color w:val="auto"/>
              </w:rPr>
              <w:t>1,897,152</w:t>
            </w:r>
          </w:p>
        </w:tc>
      </w:tr>
      <w:tr>
        <w:trPr>
          <w:trHeight w:val="236"/>
        </w:trPr>
        <w:tc>
          <w:tcPr>
            <w:tcW w:w="27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Raffiq Nathoo</w:t>
            </w:r>
          </w:p>
        </w:tc>
        <w:tc>
          <w:tcPr>
            <w:tcW w:w="202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44,004,959</w:t>
            </w:r>
          </w:p>
        </w:tc>
        <w:tc>
          <w:tcPr>
            <w:tcW w:w="20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1,407,986</w:t>
            </w:r>
          </w:p>
        </w:tc>
        <w:tc>
          <w:tcPr>
            <w:tcW w:w="17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122,181</w:t>
            </w:r>
          </w:p>
        </w:tc>
        <w:tc>
          <w:tcPr>
            <w:tcW w:w="24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1,897,152</w:t>
            </w:r>
          </w:p>
        </w:tc>
      </w:tr>
      <w:tr>
        <w:trPr>
          <w:trHeight w:val="237"/>
        </w:trPr>
        <w:tc>
          <w:tcPr>
            <w:tcW w:w="27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Thierry Vanlancker</w:t>
            </w:r>
          </w:p>
        </w:tc>
        <w:tc>
          <w:tcPr>
            <w:tcW w:w="202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Times New Roman" w:cs="Times New Roman" w:eastAsia="Times New Roman" w:hAnsi="Times New Roman"/>
                <w:sz w:val="22"/>
                <w:szCs w:val="22"/>
                <w:color w:val="auto"/>
              </w:rPr>
              <w:t>43,025,805</w:t>
            </w:r>
          </w:p>
        </w:tc>
        <w:tc>
          <w:tcPr>
            <w:tcW w:w="2020" w:type="dxa"/>
            <w:vAlign w:val="bottom"/>
            <w:tcBorders>
              <w:bottom w:val="single" w:sz="8" w:color="auto"/>
              <w:right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rPr>
              <w:t>2,473,978</w:t>
            </w:r>
          </w:p>
        </w:tc>
        <w:tc>
          <w:tcPr>
            <w:tcW w:w="17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35,343</w:t>
            </w:r>
          </w:p>
        </w:tc>
        <w:tc>
          <w:tcPr>
            <w:tcW w:w="24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1,897,152</w:t>
            </w:r>
          </w:p>
        </w:tc>
      </w:tr>
    </w:tbl>
    <w:p>
      <w:pPr>
        <w:spacing w:after="0" w:line="216"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In addition to the directors elected at the meeting to the class of directors whose term expires in 2029, the terms of office of the following directors continued after the meeting: Cynthia A. Arnold, Douglas G. Del Grosso, Christine Y. Yan, Michael M. Morrow, Michelle Williams, and Frank A. Wilson.</w:t>
      </w:r>
    </w:p>
    <w:p>
      <w:pPr>
        <w:spacing w:after="0" w:line="200" w:lineRule="exact"/>
        <w:rPr>
          <w:sz w:val="20"/>
          <w:szCs w:val="20"/>
          <w:color w:val="auto"/>
        </w:rPr>
      </w:pPr>
    </w:p>
    <w:p>
      <w:pPr>
        <w:ind w:left="760" w:right="460" w:hanging="378"/>
        <w:spacing w:after="0" w:line="258"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Company’s stockholders approved, on an advisory basis, the compensation of the Company’s named executive officers by the votes set forth in the table below:</w:t>
      </w:r>
    </w:p>
    <w:p>
      <w:pPr>
        <w:spacing w:after="0" w:line="189" w:lineRule="exact"/>
        <w:rPr>
          <w:sz w:val="20"/>
          <w:szCs w:val="20"/>
          <w:color w:val="auto"/>
        </w:rPr>
      </w:pPr>
    </w:p>
    <w:tbl>
      <w:tblPr>
        <w:tblLayout w:type="fixed"/>
        <w:tblInd w:w="1530" w:type="dxa"/>
        <w:tblCellMar>
          <w:top w:w="0" w:type="dxa"/>
          <w:left w:w="0" w:type="dxa"/>
          <w:bottom w:w="0" w:type="dxa"/>
          <w:right w:w="0" w:type="dxa"/>
        </w:tblCellMar>
      </w:tblPr>
      <w:tr>
        <w:trPr>
          <w:trHeight w:val="276"/>
        </w:trPr>
        <w:tc>
          <w:tcPr>
            <w:tcW w:w="59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For:</w:t>
            </w:r>
          </w:p>
        </w:tc>
        <w:tc>
          <w:tcPr>
            <w:tcW w:w="374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22"/>
                <w:szCs w:val="22"/>
                <w:color w:val="auto"/>
              </w:rPr>
              <w:t>44,750,029</w:t>
            </w:r>
          </w:p>
        </w:tc>
      </w:tr>
      <w:tr>
        <w:trPr>
          <w:trHeight w:val="220"/>
        </w:trPr>
        <w:tc>
          <w:tcPr>
            <w:tcW w:w="598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Against:</w:t>
            </w:r>
          </w:p>
        </w:tc>
        <w:tc>
          <w:tcPr>
            <w:tcW w:w="3740" w:type="dxa"/>
            <w:vAlign w:val="bottom"/>
            <w:tcBorders>
              <w:bottom w:val="single" w:sz="8" w:color="auto"/>
              <w:right w:val="single" w:sz="8" w:color="auto"/>
            </w:tcBorders>
          </w:tcPr>
          <w:p>
            <w:pPr>
              <w:ind w:left="2640"/>
              <w:spacing w:after="0" w:line="220" w:lineRule="exact"/>
              <w:rPr>
                <w:sz w:val="20"/>
                <w:szCs w:val="20"/>
                <w:color w:val="auto"/>
              </w:rPr>
            </w:pPr>
            <w:r>
              <w:rPr>
                <w:rFonts w:ascii="Times New Roman" w:cs="Times New Roman" w:eastAsia="Times New Roman" w:hAnsi="Times New Roman"/>
                <w:sz w:val="22"/>
                <w:szCs w:val="22"/>
                <w:color w:val="auto"/>
              </w:rPr>
              <w:t>615,613</w:t>
            </w:r>
          </w:p>
        </w:tc>
      </w:tr>
      <w:tr>
        <w:trPr>
          <w:trHeight w:val="237"/>
        </w:trPr>
        <w:tc>
          <w:tcPr>
            <w:tcW w:w="59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Abstain:</w:t>
            </w:r>
          </w:p>
        </w:tc>
        <w:tc>
          <w:tcPr>
            <w:tcW w:w="3740" w:type="dxa"/>
            <w:vAlign w:val="bottom"/>
            <w:tcBorders>
              <w:bottom w:val="single" w:sz="8" w:color="auto"/>
              <w:right w:val="single" w:sz="8" w:color="auto"/>
            </w:tcBorders>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169,484</w:t>
            </w:r>
          </w:p>
        </w:tc>
      </w:tr>
      <w:tr>
        <w:trPr>
          <w:trHeight w:val="236"/>
        </w:trPr>
        <w:tc>
          <w:tcPr>
            <w:tcW w:w="59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Broker Non-Votes:</w:t>
            </w:r>
          </w:p>
        </w:tc>
        <w:tc>
          <w:tcPr>
            <w:tcW w:w="3740" w:type="dxa"/>
            <w:vAlign w:val="bottom"/>
            <w:tcBorders>
              <w:bottom w:val="single" w:sz="8" w:color="auto"/>
              <w:right w:val="single" w:sz="8" w:color="auto"/>
            </w:tcBorders>
          </w:tcPr>
          <w:p>
            <w:pPr>
              <w:ind w:left="2640"/>
              <w:spacing w:after="0" w:line="237" w:lineRule="exact"/>
              <w:rPr>
                <w:sz w:val="20"/>
                <w:szCs w:val="20"/>
                <w:color w:val="auto"/>
              </w:rPr>
            </w:pPr>
            <w:r>
              <w:rPr>
                <w:rFonts w:ascii="Times New Roman" w:cs="Times New Roman" w:eastAsia="Times New Roman" w:hAnsi="Times New Roman"/>
                <w:sz w:val="22"/>
                <w:szCs w:val="22"/>
                <w:color w:val="auto"/>
              </w:rPr>
              <w:t>1,897,152</w:t>
            </w:r>
          </w:p>
        </w:tc>
      </w:tr>
    </w:tbl>
    <w:p>
      <w:pPr>
        <w:spacing w:after="0" w:line="216" w:lineRule="exact"/>
        <w:rPr>
          <w:sz w:val="20"/>
          <w:szCs w:val="20"/>
          <w:color w:val="auto"/>
        </w:rPr>
      </w:pPr>
    </w:p>
    <w:p>
      <w:pPr>
        <w:ind w:left="760" w:right="60" w:hanging="378"/>
        <w:spacing w:after="0" w:line="282" w:lineRule="auto"/>
        <w:tabs>
          <w:tab w:leader="none" w:pos="7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Company’s stockholders ratified the appointment of Deloitte &amp; Touche LLP as the Company’s independent registered public accounting firm for the fiscal year ending September 30, 2026 by the votes set forth in the table below:</w:t>
      </w:r>
    </w:p>
    <w:p>
      <w:pPr>
        <w:spacing w:after="0" w:line="166" w:lineRule="exact"/>
        <w:rPr>
          <w:sz w:val="20"/>
          <w:szCs w:val="20"/>
          <w:color w:val="auto"/>
        </w:rPr>
      </w:pPr>
    </w:p>
    <w:tbl>
      <w:tblPr>
        <w:tblLayout w:type="fixed"/>
        <w:tblInd w:w="1530" w:type="dxa"/>
        <w:tblCellMar>
          <w:top w:w="0" w:type="dxa"/>
          <w:left w:w="0" w:type="dxa"/>
          <w:bottom w:w="0" w:type="dxa"/>
          <w:right w:w="0" w:type="dxa"/>
        </w:tblCellMar>
      </w:tblPr>
      <w:tr>
        <w:trPr>
          <w:trHeight w:val="276"/>
        </w:trPr>
        <w:tc>
          <w:tcPr>
            <w:tcW w:w="43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For:</w:t>
            </w:r>
          </w:p>
        </w:tc>
        <w:tc>
          <w:tcPr>
            <w:tcW w:w="5400" w:type="dxa"/>
            <w:vAlign w:val="bottom"/>
            <w:tcBorders>
              <w:top w:val="single" w:sz="8" w:color="auto"/>
              <w:bottom w:val="single" w:sz="8" w:color="auto"/>
              <w:right w:val="single" w:sz="8" w:color="auto"/>
            </w:tcBorders>
          </w:tcPr>
          <w:p>
            <w:pPr>
              <w:ind w:left="4300"/>
              <w:spacing w:after="0"/>
              <w:rPr>
                <w:sz w:val="20"/>
                <w:szCs w:val="20"/>
                <w:color w:val="auto"/>
              </w:rPr>
            </w:pPr>
            <w:r>
              <w:rPr>
                <w:rFonts w:ascii="Times New Roman" w:cs="Times New Roman" w:eastAsia="Times New Roman" w:hAnsi="Times New Roman"/>
                <w:sz w:val="22"/>
                <w:szCs w:val="22"/>
                <w:color w:val="auto"/>
              </w:rPr>
              <w:t>45,671,483</w:t>
            </w:r>
          </w:p>
        </w:tc>
      </w:tr>
      <w:tr>
        <w:trPr>
          <w:trHeight w:val="220"/>
        </w:trPr>
        <w:tc>
          <w:tcPr>
            <w:tcW w:w="432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Against:</w:t>
            </w:r>
          </w:p>
        </w:tc>
        <w:tc>
          <w:tcPr>
            <w:tcW w:w="5400" w:type="dxa"/>
            <w:vAlign w:val="bottom"/>
            <w:tcBorders>
              <w:bottom w:val="single" w:sz="8" w:color="auto"/>
              <w:right w:val="single" w:sz="8" w:color="auto"/>
            </w:tcBorders>
          </w:tcPr>
          <w:p>
            <w:pPr>
              <w:ind w:left="4300"/>
              <w:spacing w:after="0" w:line="220" w:lineRule="exact"/>
              <w:rPr>
                <w:sz w:val="20"/>
                <w:szCs w:val="20"/>
                <w:color w:val="auto"/>
              </w:rPr>
            </w:pPr>
            <w:r>
              <w:rPr>
                <w:rFonts w:ascii="Times New Roman" w:cs="Times New Roman" w:eastAsia="Times New Roman" w:hAnsi="Times New Roman"/>
                <w:sz w:val="22"/>
                <w:szCs w:val="22"/>
                <w:color w:val="auto"/>
              </w:rPr>
              <w:t>1,678,144</w:t>
            </w:r>
          </w:p>
        </w:tc>
      </w:tr>
      <w:tr>
        <w:trPr>
          <w:trHeight w:val="237"/>
        </w:trPr>
        <w:tc>
          <w:tcPr>
            <w:tcW w:w="43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Abstain:</w:t>
            </w:r>
          </w:p>
        </w:tc>
        <w:tc>
          <w:tcPr>
            <w:tcW w:w="5400" w:type="dxa"/>
            <w:vAlign w:val="bottom"/>
            <w:tcBorders>
              <w:bottom w:val="single" w:sz="8" w:color="auto"/>
              <w:right w:val="single" w:sz="8" w:color="auto"/>
            </w:tcBorders>
          </w:tcPr>
          <w:p>
            <w:pPr>
              <w:ind w:left="4300"/>
              <w:spacing w:after="0" w:line="237" w:lineRule="exact"/>
              <w:rPr>
                <w:sz w:val="20"/>
                <w:szCs w:val="20"/>
                <w:color w:val="auto"/>
              </w:rPr>
            </w:pPr>
            <w:r>
              <w:rPr>
                <w:rFonts w:ascii="Times New Roman" w:cs="Times New Roman" w:eastAsia="Times New Roman" w:hAnsi="Times New Roman"/>
                <w:sz w:val="22"/>
                <w:szCs w:val="22"/>
                <w:color w:val="auto"/>
              </w:rPr>
              <w:t>82,652</w:t>
            </w:r>
          </w:p>
        </w:tc>
      </w:tr>
    </w:tbl>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proposal to ratify the appointment of Deloitte &amp; Touche LLP was a routine matter and, therefore, there were no broker non-votes relating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CABOT CORPORATION</w:t>
      </w:r>
    </w:p>
    <w:p>
      <w:pPr>
        <w:spacing w:after="0" w:line="200" w:lineRule="exact"/>
        <w:rPr>
          <w:sz w:val="20"/>
          <w:szCs w:val="20"/>
          <w:color w:val="auto"/>
        </w:rPr>
      </w:pPr>
    </w:p>
    <w:p>
      <w:pPr>
        <w:spacing w:after="0" w:line="2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Karen A. Kalita</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 Karen A. Kalita</w:t>
      </w:r>
    </w:p>
    <w:p>
      <w:pPr>
        <w:ind w:left="4120"/>
        <w:spacing w:after="0"/>
        <w:rPr>
          <w:sz w:val="20"/>
          <w:szCs w:val="20"/>
          <w:color w:val="auto"/>
        </w:rPr>
      </w:pPr>
      <w:r>
        <w:rPr>
          <w:rFonts w:ascii="Times New Roman" w:cs="Times New Roman" w:eastAsia="Times New Roman" w:hAnsi="Times New Roman"/>
          <w:sz w:val="22"/>
          <w:szCs w:val="22"/>
          <w:color w:val="auto"/>
        </w:rPr>
        <w:t>Title: Senior Vice President and General Counsel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752475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700" w:top="1404" w:right="5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2026-03-17T14:59:26Z</dcterms:created>
  <dcterms:modified xsi:type="dcterms:W3CDTF">2026-03-17T14:59:26Z</dcterms:modified>
</cp:coreProperties>
</file>