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Keohane Sean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35"/>
        <w:gridCol w:w="929"/>
        <w:gridCol w:w="799"/>
        <w:gridCol w:w="616"/>
        <w:gridCol w:w="334"/>
        <w:gridCol w:w="1001"/>
        <w:gridCol w:w="398"/>
        <w:gridCol w:w="568"/>
        <w:gridCol w:w="1442"/>
        <w:gridCol w:w="943"/>
        <w:gridCol w:w="14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134,895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539,029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134,895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404,134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14,263.7411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the Trustee for the Corporation's 401(k) Plan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134,895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137,674 shares were subject to the option. The option vested over a three year period as follows: 30% on November 9, 2019, 30% on November 9, 2020, and 40% on November 9,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M. Lombardi, pursuant to a power of attorney from Sean D. Keohane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737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3454</Characters>
  <CharactersWithSpaces>4011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