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6611d424b2.htm"/>
        <w:bookmarkStart w:id="1" w:name="ksd146611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File No. 333-276078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December 15, 2023) </w:t>
      </w:r>
    </w:p>
    <w:p>
      <w:pPr>
        <w:pStyle w:val="TextBody"/>
        <w:bidi w:val="0"/>
        <w:spacing w:before="240" w:after="0"/>
        <w:jc w:val="center"/>
        <w:rPr>
          <w:rFonts w:ascii="Times New Roman" w:hAnsi="Times New Roman"/>
          <w:b/>
          <w:sz w:val="32"/>
        </w:rPr>
      </w:pPr>
      <w:r>
        <w:rPr>
          <w:rFonts w:ascii="Times New Roman" w:hAnsi="Times New Roman"/>
          <w:b/>
          <w:sz w:val="32"/>
        </w:rPr>
        <w:t xml:space="preserve">$350,000,000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8695" cy="6057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4"/>
        </w:rPr>
      </w:pPr>
      <w:r>
        <w:rPr>
          <w:rFonts w:ascii="Times New Roman" w:hAnsi="Times New Roman"/>
          <w:b/>
          <w:sz w:val="44"/>
        </w:rPr>
        <w:t xml:space="preserve">Cabot Corporation </w:t>
      </w:r>
    </w:p>
    <w:p>
      <w:pPr>
        <w:pStyle w:val="TextBody"/>
        <w:bidi w:val="0"/>
        <w:spacing w:before="240" w:after="0"/>
        <w:jc w:val="center"/>
        <w:rPr>
          <w:rFonts w:ascii="Times New Roman" w:hAnsi="Times New Roman"/>
          <w:b/>
          <w:sz w:val="26"/>
        </w:rPr>
      </w:pPr>
      <w:r>
        <w:rPr>
          <w:rFonts w:ascii="Times New Roman" w:hAnsi="Times New Roman"/>
          <w:b/>
          <w:sz w:val="26"/>
        </w:rPr>
        <w:t xml:space="preserve">4.950% Senior Notes due 2029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We are offering $350,000,000 aggregate principal amount of our 4.950% Senior Notes due 2029, which we refer to as the “notes.” The notes will mature on August 15, 2029. Interest will accrue on the notes from August 21, 2026, and the first interest payment date will be February 15, 2027. </w:t>
      </w:r>
    </w:p>
    <w:p>
      <w:pPr>
        <w:pStyle w:val="TextBody"/>
        <w:bidi w:val="0"/>
        <w:spacing w:before="240" w:after="0"/>
        <w:jc w:val="left"/>
        <w:rPr>
          <w:rFonts w:ascii="Times New Roman" w:hAnsi="Times New Roman"/>
          <w:sz w:val="18"/>
        </w:rPr>
      </w:pPr>
      <w:r>
        <w:rPr>
          <w:rFonts w:ascii="Times New Roman" w:hAnsi="Times New Roman"/>
          <w:sz w:val="18"/>
        </w:rPr>
        <w:t xml:space="preserve">Prior to July 15, 2029 (one month prior to the maturity date of the notes) (the “Par Call Date”), we may redeem all or a portion of the notes at a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herein) plus 15 basis points less (b) interest accrued to the date of redemption, and (2) 100% of the principal amount, plus, in either case, accrued and unpaid interest, if any, to, but excluding, the redemption date. See “Description of Notes—Optional Redemption.” If we experience specific kinds of changes in control and both Moody’s and S&amp;P rate the notes below investment grade as a result of the announcement of such change of control (or the pendency thereof), we must offer to purchase the notes. See “Description of Notes—Change of Control Triggering Event.” </w:t>
      </w:r>
    </w:p>
    <w:p>
      <w:pPr>
        <w:pStyle w:val="TextBody"/>
        <w:bidi w:val="0"/>
        <w:spacing w:before="240" w:after="0"/>
        <w:jc w:val="left"/>
        <w:rPr>
          <w:rFonts w:ascii="Times New Roman" w:hAnsi="Times New Roman"/>
          <w:sz w:val="18"/>
        </w:rPr>
      </w:pPr>
      <w:r>
        <w:rPr>
          <w:rFonts w:ascii="Times New Roman" w:hAnsi="Times New Roman"/>
          <w:sz w:val="18"/>
        </w:rPr>
        <w:t xml:space="preserve">The notes will be our senior unsecured obligations and will rank equally in right of payment to all of our existing and future senior debt and senior in right of payment to any subordinated debt we may incur. The notes will be effectively subordinated to all of our existing and any future secured debt, to the extent of the value of the collateral securing such debt, and structurally subordinated to all of the existing and future liabilities (including trade payables) of our subsidiaries, none of which will guarantee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You should read this prospectus supplement, together with the accompanying prospectus, carefully before you invest in the notes. Investing in the notes involves risks. See “</w:t>
      </w:r>
      <w:hyperlink w:anchor="supptx146611_4">
        <w:r>
          <w:rPr>
            <w:rStyle w:val="InternetLink"/>
            <w:rFonts w:ascii="Times New Roman" w:hAnsi="Times New Roman"/>
            <w:b/>
            <w:sz w:val="22"/>
          </w:rPr>
          <w:t>Risk Factors</w:t>
        </w:r>
      </w:hyperlink>
      <w:r>
        <w:rPr>
          <w:rFonts w:ascii="Times New Roman" w:hAnsi="Times New Roman"/>
          <w:b/>
          <w:sz w:val="22"/>
        </w:rPr>
        <w:t xml:space="preserve">” beginning on page S-5 of this prospectus supplement and page 2 of the accompanying prospectus for a discussion of certain risks that you should consider in connection with an investment in the notes.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(the “SEC” or the “Commission”) nor any state securities commission has approved or disapproved of these notes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51"/>
        <w:gridCol w:w="339"/>
        <w:gridCol w:w="140"/>
        <w:gridCol w:w="1323"/>
        <w:gridCol w:w="275"/>
        <w:gridCol w:w="248"/>
        <w:gridCol w:w="190"/>
        <w:gridCol w:w="1339"/>
        <w:gridCol w:w="275"/>
        <w:gridCol w:w="248"/>
        <w:gridCol w:w="140"/>
        <w:gridCol w:w="1323"/>
        <w:gridCol w:w="281"/>
      </w:tblGrid>
      <w:tr>
        <w:trPr/>
        <w:tc>
          <w:tcPr>
            <w:tcW w:w="245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Public(1)</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br/>
              <w:t>Before</w:t>
              <w:br/>
              <w:t>Expenses, to</w:t>
              <w:br/>
              <w:t>Us(1)</w:t>
            </w:r>
          </w:p>
        </w:tc>
        <w:tc>
          <w:tcPr>
            <w:tcW w:w="281" w:type="dxa"/>
            <w:tcBorders/>
            <w:vAlign w:val="bottom"/>
          </w:tcPr>
          <w:p>
            <w:pPr>
              <w:pStyle w:val="TableContents"/>
              <w:bidi w:val="0"/>
              <w:spacing w:before="0" w:after="283"/>
              <w:jc w:val="left"/>
              <w:rPr/>
            </w:pPr>
            <w:r>
              <w:rPr/>
              <w:t> </w:t>
            </w:r>
          </w:p>
        </w:tc>
      </w:tr>
      <w:tr>
        <w:trPr/>
        <w:tc>
          <w:tcPr>
            <w:tcW w:w="245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99.993</w:t>
            </w:r>
          </w:p>
        </w:tc>
        <w:tc>
          <w:tcPr>
            <w:tcW w:w="27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0.350</w:t>
            </w:r>
          </w:p>
        </w:tc>
        <w:tc>
          <w:tcPr>
            <w:tcW w:w="27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99.643</w:t>
            </w:r>
          </w:p>
        </w:tc>
        <w:tc>
          <w:tcPr>
            <w:tcW w:w="281" w:type="dxa"/>
            <w:tcBorders/>
            <w:shd w:fill="CCEEFF" w:val="clear"/>
            <w:vAlign w:val="bottom"/>
          </w:tcPr>
          <w:p>
            <w:pPr>
              <w:pStyle w:val="TableContents"/>
              <w:bidi w:val="0"/>
              <w:spacing w:before="0" w:after="283"/>
              <w:jc w:val="left"/>
              <w:rPr/>
            </w:pPr>
            <w:r>
              <w:rPr/>
              <w:t>% </w:t>
            </w:r>
          </w:p>
        </w:tc>
      </w:tr>
      <w:tr>
        <w:trPr/>
        <w:tc>
          <w:tcPr>
            <w:tcW w:w="2451"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349,975,500</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1,225,000</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348,750,500</w:t>
            </w:r>
          </w:p>
        </w:tc>
        <w:tc>
          <w:tcPr>
            <w:tcW w:w="281"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August 21, 2026 to the date of delivery. </w:t>
            </w:r>
          </w:p>
        </w:tc>
      </w:tr>
    </w:tbl>
    <w:p>
      <w:pPr>
        <w:pStyle w:val="TextBody"/>
        <w:bidi w:val="0"/>
        <w:spacing w:before="240" w:after="0"/>
        <w:jc w:val="left"/>
        <w:rPr>
          <w:rFonts w:ascii="Times New Roman" w:hAnsi="Times New Roman"/>
          <w:sz w:val="18"/>
        </w:rPr>
      </w:pPr>
      <w:r>
        <w:rPr>
          <w:rFonts w:ascii="Times New Roman" w:hAnsi="Times New Roman"/>
          <w:sz w:val="18"/>
        </w:rPr>
        <w:t xml:space="preserve">The notes will not be listed on any securities exchange. Currently, there is no public market for the notes. </w:t>
      </w:r>
    </w:p>
    <w:p>
      <w:pPr>
        <w:pStyle w:val="TextBody"/>
        <w:bidi w:val="0"/>
        <w:spacing w:before="240" w:after="0"/>
        <w:jc w:val="left"/>
        <w:rPr>
          <w:rFonts w:ascii="Times New Roman" w:hAnsi="Times New Roman"/>
          <w:sz w:val="18"/>
        </w:rPr>
      </w:pPr>
      <w:r>
        <w:rPr>
          <w:rFonts w:ascii="Times New Roman" w:hAnsi="Times New Roman"/>
          <w:sz w:val="18"/>
        </w:rPr>
        <w:t xml:space="preserve">The underwriters expect to deliver the notes to purchasers through the book-entry delivery system of The Depository Trust Company and its participants, including Euroclear Bank, S.A./N.V. and Clearstream Banking, </w:t>
      </w:r>
      <w:r>
        <w:rPr>
          <w:rFonts w:ascii="Times New Roman" w:hAnsi="Times New Roman"/>
          <w:i/>
          <w:sz w:val="18"/>
        </w:rPr>
        <w:t>societé anonyme</w:t>
      </w:r>
      <w:r>
        <w:rPr>
          <w:rFonts w:ascii="Times New Roman" w:hAnsi="Times New Roman"/>
          <w:sz w:val="18"/>
        </w:rPr>
        <w:t xml:space="preserve">, on or about August 21,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4"/>
        <w:gridCol w:w="100"/>
        <w:gridCol w:w="2466"/>
        <w:gridCol w:w="100"/>
        <w:gridCol w:w="2836"/>
        <w:gridCol w:w="100"/>
        <w:gridCol w:w="2379"/>
      </w:tblGrid>
      <w:tr>
        <w:trPr/>
        <w:tc>
          <w:tcPr>
            <w:tcW w:w="222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b/>
              </w:rPr>
            </w:pPr>
            <w:r>
              <w:rPr>
                <w:b/>
              </w:rPr>
              <w:t>Citigroup</w:t>
            </w:r>
          </w:p>
        </w:tc>
        <w:tc>
          <w:tcPr>
            <w:tcW w:w="10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283"/>
              <w:jc w:val="center"/>
              <w:rPr>
                <w:b/>
              </w:rPr>
            </w:pPr>
            <w:r>
              <w:rPr>
                <w:b/>
              </w:rPr>
              <w:t>J.P. Morgan</w:t>
            </w:r>
          </w:p>
        </w:tc>
        <w:tc>
          <w:tcPr>
            <w:tcW w:w="100" w:type="dxa"/>
            <w:tcBorders/>
            <w:vAlign w:val="bottom"/>
          </w:tcPr>
          <w:p>
            <w:pPr>
              <w:pStyle w:val="TableContents"/>
              <w:bidi w:val="0"/>
              <w:spacing w:before="0" w:after="283"/>
              <w:jc w:val="left"/>
              <w:rPr/>
            </w:pPr>
            <w:r>
              <w:rPr/>
              <w:t> </w:t>
            </w:r>
          </w:p>
        </w:tc>
        <w:tc>
          <w:tcPr>
            <w:tcW w:w="2836" w:type="dxa"/>
            <w:tcBorders/>
          </w:tcPr>
          <w:p>
            <w:pPr>
              <w:pStyle w:val="TableContents"/>
              <w:bidi w:val="0"/>
              <w:spacing w:before="0" w:after="283"/>
              <w:jc w:val="center"/>
              <w:rPr>
                <w:b/>
              </w:rPr>
            </w:pPr>
            <w:r>
              <w:rPr>
                <w:b/>
              </w:rPr>
              <w:t>PNC Capital Markets LLC</w:t>
            </w:r>
          </w:p>
        </w:tc>
        <w:tc>
          <w:tcPr>
            <w:tcW w:w="100" w:type="dxa"/>
            <w:tcBorders/>
            <w:vAlign w:val="bottom"/>
          </w:tcPr>
          <w:p>
            <w:pPr>
              <w:pStyle w:val="TableContents"/>
              <w:bidi w:val="0"/>
              <w:spacing w:before="0" w:after="283"/>
              <w:jc w:val="left"/>
              <w:rPr/>
            </w:pPr>
            <w:r>
              <w:rPr/>
              <w:t> </w:t>
            </w:r>
          </w:p>
        </w:tc>
        <w:tc>
          <w:tcPr>
            <w:tcW w:w="2379" w:type="dxa"/>
            <w:tcBorders/>
          </w:tcPr>
          <w:p>
            <w:pPr>
              <w:pStyle w:val="TableContents"/>
              <w:bidi w:val="0"/>
              <w:spacing w:before="0" w:after="283"/>
              <w:jc w:val="right"/>
              <w:rPr>
                <w:b/>
              </w:rPr>
            </w:pPr>
            <w:r>
              <w:rPr>
                <w:b/>
              </w:rPr>
              <w:t>US Bancorp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BofA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BBVA</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ING</w:t>
            </w:r>
          </w:p>
        </w:tc>
      </w:tr>
    </w:tbl>
    <w:p>
      <w:pPr>
        <w:pStyle w:val="TextBody"/>
        <w:bidi w:val="0"/>
        <w:spacing w:before="240" w:after="0"/>
        <w:jc w:val="center"/>
        <w:rPr>
          <w:rFonts w:ascii="Times New Roman" w:hAnsi="Times New Roman"/>
          <w:b/>
          <w:i/>
          <w:sz w:val="22"/>
        </w:rPr>
      </w:pPr>
      <w:r>
        <w:rPr>
          <w:rFonts w:ascii="Times New Roman" w:hAnsi="Times New Roman"/>
          <w:b/>
          <w:i/>
          <w:sz w:val="22"/>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9"/>
        <w:gridCol w:w="100"/>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HSBC</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Loop Capital Markets</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Morgan Stanley</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supplement is August 12,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7">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8">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9">
              <w:r>
                <w:rPr>
                  <w:rStyle w:val="InternetLink"/>
                  <w:rFonts w:ascii="Times New Roman" w:hAnsi="Times New Roman"/>
                  <w:sz w:val="20"/>
                </w:rPr>
                <w:t>CERTAIN UNITED STATES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1">
              <w:r>
                <w:rPr>
                  <w:rStyle w:val="InternetLink"/>
                  <w:rFonts w:ascii="Times New Roman" w:hAnsi="Times New Roman"/>
                  <w:sz w:val="20"/>
                </w:rPr>
                <w:t>VALIDITY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4">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4661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4">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6">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is not qualified to do so or any person to whom it is unlawful to make such offer or solicitation.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4661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we are offering and certain other matters relating to us and our financial condition. The second part, the accompanying prospectus dated December 15, 2023, is part of our automatically effective registration statement on Form S-3 and provides more general information, some of which may not apply to the notes we are offering hereby. You should read this prospectus supplement along with the accompanying prospectus, the documents incorporated by reference herein and therein, as well as any free writing prospectus that is filed, including the term sheet for the notes we are offering. If the description of the offering varies between this prospectus supplement and the accompanying prospectus, you should rely on the information in this prospectus supplement. Generally, when we refer to this prospectus, we are referring to the prospectus supplement together with the accompanying prospectus and all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in or incorporated by reference into this prospectus supplement and the accompanying prospectus and any related free writing prospectus. If anyone provides you with different or inconsistent information, you should not rely on it. Neither we nor the underwriters are making an offer to sell the notes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or incorporated by reference into this prospectus supplement, the accompanying prospectus and any related free writing prospectus, or any other offering materials is accurate as of any date other than the date on the front of each document, regardless of the time of delivery of this prospectus supplement, the accompanying prospectus, any related free writing prospectus or any sale of the notes. Our business, financial condition, results of operations and prospects may have changed since those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“Cabot,” the “Company,” “we,” “our” and “us” in this prospectus supplement and the accompanying prospectus, we mean Cabot Corporation, including, unless the context otherwise requires, its subsidiaries, except in the section entitled “Description of Notes” where we mean Cabot Corporation alone. When we refer to “you” or “yours,” we mean the holders of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46611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including the documents incorporated by reference, may contain “forward-looking statements” under the federal securities laws. These forward-looking statements include all statements that are not historical facts and can be identified by the use of forward-looking terminology such as the words “believe,” “expect,” “plan,” “intend,” “anticipate,” “estimate,” “predict,” “potential,” “continue,” “may,” “should” or the negative of these terms or similar expressions. Reference is made in particular to forward-looking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future business performance and overall prospects, including for earnings before interest and taxes, volumes and costs in our business segments in the fourth quarter of fiscal 2026, and the principal assumptions underlying these expectations, including demand for our products, the sufficiency of our cash on hand, cash provided from operations and cash available under our credit and commercial paper facilities to fund our cash requirements in both the next twelve months and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capital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requirements and uses of available cash, including future cash outlays associated with respirator liabilities and reorganization activity and the timing of such outlays;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and timing of the charges we expect to record and the estimates of the total costs of restructuring plans and expected cash outlays in connection with reorganization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tax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outcome of legal and environmental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assumptions, estimates and projections about Cabot’s businesses and strategies, market trends and conditions, economic conditions and other factors. These statements are not guarantees of future performance and are subject to risks, uncertainties, potentially inaccurate assumptions, and other factors, some of which are beyond our control or difficult to predict. If known or unknown risks materialize, or should underlying assumptions prove inaccurate, our actual results could differ materially from those expressed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 discussions of certain risks, uncertainties and contingencies that might affect such forward-looking statements, please see “Risk Factors” beginning on page S-5 in this prospectus supplement and in our Annual Report on Form 10-K for the fiscal year ended September 30, 2025, which is incorporated by reference herein. The risks, uncertainties and contingencies that could cause our actual results to differ materially from those expressed in the forward-looking statements include, without limitation: industry capacity utilization, shifts in the geographic area of tire production,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or the conflict in the Middle East;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in connection with our restructuring activities in Campana and The Netherlands, finalization of employee severance arrangements, finalization of the accounting impact of the closures, higher than expected demolition, site clearing, environmental remediation or asset retirement costs, and our ability to successfully consolidate production in fewer plants, and to maintain customer volumes as we consolidate production; unanticipated delays in or increased costs of site development projects; negative or uncertain worldwide or regional economic conditions and market opportunities, including from trade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global health matters or geo-political conflicts; litigation or legal proceedings; interest rates, tax rates, tariffs, currency exchange controls, and fluctuations in foreign currency; and the accuracy of the assumptions we used in establishing reserves for our share of liability for respirator claims. There may be other risks and uncertainties that we are unable to predict at this time or that we currently do not expect to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publicly update forward-looking statements, whether as a result of new information, future events or otherwise, except as required by law. Investors are advised, however, to consult any further disclosures we make on related subjects in future 10-K, 10-Q and 8-K reports filed with the SEC. For information about how to obtain a copy of these reports or other documents that we file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46611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or incorporated by reference into, this prospectus supplement and the accompanying prospectus and may not contain all of the information that is important to you. You should carefully read this prospectus supplement and the accompanying prospectus in their entirety, including the documents incorporated by reference herein and therein.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Cabot is a global specialty chemicals and performance materials company headquartered in Boston, Massachusetts. Our principal products are reinforcing and specialty carbons, specialty compounds, conductive additives, carbon nanotubes, fumed metal oxides, inkjet colorants, and aerogel. Cabot and its affiliates have manufacturing facilities and operations in the United States (“U.S.”) and over 20 other countries. Cabot’s business was founded in 1882 and incorporated in the State of Delaware in 1960.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early fiscal 2022, we introduced our “Creating for Tomorrow” growth strategy. This strategy is focused on investing for advantaged growth, developing innovative products and processes that enable a better future, and driving continuous improvement in all we do. Our products are generally based on technical expertise and innovation in one or more of our four core competencies: making and handling very fine particles; modifying the surfaces of very fine particles to alter their functionality; designing particles to impart specific properties to a formulation; and combining particles with other ingredients to deliver a formulated performance intermediate or composite. We focus on creating particles, and formulations of those particles, with the composition, morphology, and surface functionalities to deliver the requisite performance to support our customers’ existing and emerging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currently organized into two reportable segments: Reinforcement Materials and Performance Chemicals.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incorporated in the state of Delaware and our principal executive offices are located at Two Seaport Lane, Suite 1400, Boston, Massachusetts 02210. Our telephone number is (617) 345-0100. Our common stock is listed on The New York Stock Exchange under the symbol “CBT.”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and is not intended to be complete. Some of the terms and conditions described below are subject to important limitations and exceptions. For a more detailed description of the terms and conditions of the notes, see the section entitled “Description of Notes” in this prospectus supplement and “Description of Debt Securities” in the accompanying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Cabot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Securities Offered </w:t>
            </w:r>
          </w:p>
        </w:tc>
        <w:tc>
          <w:tcPr>
            <w:tcW w:w="6328" w:type="dxa"/>
            <w:tcBorders/>
          </w:tcPr>
          <w:p>
            <w:pPr>
              <w:pStyle w:val="TableContents"/>
              <w:bidi w:val="0"/>
              <w:spacing w:before="0" w:after="283"/>
              <w:jc w:val="left"/>
              <w:rPr/>
            </w:pPr>
            <w:r>
              <w:rPr/>
              <w:t xml:space="preserve">$350,000,000 aggregate principal amount of 4.950% Senior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27" w:type="dxa"/>
            <w:tcBorders/>
          </w:tcPr>
          <w:p>
            <w:pPr>
              <w:pStyle w:val="TableContents"/>
              <w:bidi w:val="0"/>
              <w:spacing w:before="0" w:after="283"/>
              <w:jc w:val="left"/>
              <w:rPr/>
            </w:pPr>
            <w:r>
              <w:rPr/>
              <w:t xml:space="preserve">August 15,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6326" w:type="dxa"/>
            <w:tcBorders/>
          </w:tcPr>
          <w:p>
            <w:pPr>
              <w:pStyle w:val="TableContents"/>
              <w:bidi w:val="0"/>
              <w:spacing w:before="0" w:after="283"/>
              <w:jc w:val="left"/>
              <w:rPr/>
            </w:pPr>
            <w:r>
              <w:rPr/>
              <w:t xml:space="preserve">4.950% per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30" w:type="dxa"/>
            <w:tcBorders/>
          </w:tcPr>
          <w:p>
            <w:pPr>
              <w:pStyle w:val="TableContents"/>
              <w:bidi w:val="0"/>
              <w:spacing w:before="0" w:after="283"/>
              <w:jc w:val="left"/>
              <w:rPr/>
            </w:pPr>
            <w:r>
              <w:rPr/>
              <w:t xml:space="preserve">February 15 and August 15, commencing February 15, 2027. Interest will accrue from August 21,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July 15, 2029 (one month prior to the maturity date of the notes), we may redeem all or a portion of the notes at a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 (2) 100% of the principal amount, plus, in either case, accrued and unpaid interest, if any,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addition, on or after the Par Call Date, we may redeem all or a portion of the notes at a price equal to 100% of the principal amount thereof, plus accrued and unpaid interest, if any,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Offer </w:t>
            </w:r>
          </w:p>
        </w:tc>
        <w:tc>
          <w:tcPr>
            <w:tcW w:w="6328" w:type="dxa"/>
            <w:tcBorders/>
          </w:tcPr>
          <w:p>
            <w:pPr>
              <w:pStyle w:val="TableContents"/>
              <w:bidi w:val="0"/>
              <w:spacing w:before="0" w:after="283"/>
              <w:jc w:val="left"/>
              <w:rPr/>
            </w:pPr>
            <w:r>
              <w:rPr/>
              <w:t xml:space="preserve">Upon the occurrence of a Change of Control Triggering Event (as defined in this prospectus supplement), you will have the right, as holders of the notes, to cause us to repurchase your notes at 101% of their principal amount, plus accrued and unpaid interest, if any, to, but excluding, the repurchase date. See “Description of Notes—Change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Accordingly, they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our existing and any future secured debt, to the extent of the value of the collateral securing such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with all our existing and future senior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to any of our future subordinated debt;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all of the existing and future liabilities (including trade payables) of our subsidiaries, none of which will guarantee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As of June 30, 2026, after giving effect to this offering and the use of proceeds therefrom, the Company would have had $1,373 million of total indebtedness (including the notes) that ranks equally with the notes. In addition, as of June 30, 2026, the Company, exclusive of its subsidiaries, had $15 million of secured indebtedness to which the notes will be effectively subordinated (to the extent of the value of the collateral securing such debt) and its subsidiaries had $187 million of external debt, including finance leases, to which the notes will be structurally subordinated.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 addition, as of June 30, 2026, there was $1.1 billion of undrawn availability under our multicurrency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Covenants </w:t>
            </w:r>
          </w:p>
        </w:tc>
        <w:tc>
          <w:tcPr>
            <w:tcW w:w="6328" w:type="dxa"/>
            <w:tcBorders/>
          </w:tcPr>
          <w:p>
            <w:pPr>
              <w:pStyle w:val="TableContents"/>
              <w:bidi w:val="0"/>
              <w:spacing w:before="0" w:after="283"/>
              <w:jc w:val="left"/>
              <w:rPr/>
            </w:pPr>
            <w:r>
              <w:rPr/>
              <w:t xml:space="preserve">The indenture governing the notes will, among other things and with certain exceptions, limit our and the ability of our restricted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transfer all or substantially all of our assets and the assets of our subsidiaries on a consolidated basis.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will be subject to a number of important exceptions and qualifications, which are described in the accompanying prospectus. For a more detailed description, see “Description of Debt Securities”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Further Issuances </w:t>
            </w:r>
          </w:p>
        </w:tc>
        <w:tc>
          <w:tcPr>
            <w:tcW w:w="6329" w:type="dxa"/>
            <w:tcBorders/>
          </w:tcPr>
          <w:p>
            <w:pPr>
              <w:pStyle w:val="TableContents"/>
              <w:bidi w:val="0"/>
              <w:spacing w:before="0" w:after="283"/>
              <w:jc w:val="left"/>
              <w:rPr/>
            </w:pPr>
            <w:r>
              <w:rPr/>
              <w:t xml:space="preserve">We may, without the consent of the holders, issue in the future additional notes under the indenture with the same terms (except for the issue date, price to public and, if applicable, the payment of interest accruing prior to the issue date of such additional notes and the initial interest payment date) and with the same CUSIP number and ISIN as the notes offered hereby in an unlimited aggregate principal amount; provided that if any such additional notes are not treated as fungible with the notes offered hereby for U.S. federal income tax purposes, such additional notes will have one or more separate CUSIP numbers and ISINs from the notes issued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Sinking Fund </w:t>
            </w:r>
          </w:p>
        </w:tc>
        <w:tc>
          <w:tcPr>
            <w:tcW w:w="6329" w:type="dxa"/>
            <w:tcBorders/>
          </w:tcPr>
          <w:p>
            <w:pPr>
              <w:pStyle w:val="TableContents"/>
              <w:bidi w:val="0"/>
              <w:spacing w:before="0" w:after="283"/>
              <w:jc w:val="left"/>
              <w:rPr/>
            </w:pPr>
            <w:r>
              <w:rPr/>
              <w:t xml:space="preserve">The notes will not be entitled to the benefit of any sinking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Form and Denomination </w:t>
            </w:r>
          </w:p>
        </w:tc>
        <w:tc>
          <w:tcPr>
            <w:tcW w:w="6327" w:type="dxa"/>
            <w:tcBorders/>
          </w:tcPr>
          <w:p>
            <w:pPr>
              <w:pStyle w:val="TableContents"/>
              <w:bidi w:val="0"/>
              <w:spacing w:before="0" w:after="283"/>
              <w:jc w:val="left"/>
              <w:rPr/>
            </w:pPr>
            <w:r>
              <w:rPr/>
              <w:t xml:space="preserve">The notes will be issued in fully registered form in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Absence of Public Market for the Notes </w:t>
            </w:r>
          </w:p>
        </w:tc>
        <w:tc>
          <w:tcPr>
            <w:tcW w:w="6329" w:type="dxa"/>
            <w:tcBorders/>
          </w:tcPr>
          <w:p>
            <w:pPr>
              <w:pStyle w:val="TableContents"/>
              <w:bidi w:val="0"/>
              <w:spacing w:before="0" w:after="283"/>
              <w:jc w:val="left"/>
              <w:rPr/>
            </w:pPr>
            <w:r>
              <w:rPr/>
              <w:t xml:space="preserve">The notes are a new issue of securities and there is currently no established trading market for the notes. Certain of the underwriters have advised us that they presently intend to make a market in the notes. However, they are not obligated to do so, and any market making may be discontinued without notice. We do not intend to apply for a listing of the notes on any securities exchange or an automated dealer quotation system. Accordingly, there can be no assurance as to the development or liquidity of any market for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30" w:type="dxa"/>
            <w:tcBorders/>
          </w:tcPr>
          <w:p>
            <w:pPr>
              <w:pStyle w:val="TableContents"/>
              <w:bidi w:val="0"/>
              <w:spacing w:before="0" w:after="283"/>
              <w:jc w:val="left"/>
              <w:rPr/>
            </w:pPr>
            <w:r>
              <w:rPr/>
              <w:t xml:space="preserve">The net proceeds from this offering are estimated to be $347.7 million after deducting the underwriting discount and offering expenses payable by us. We intend to use the net proceeds from this offering to repay our $250 million aggregate principal amount of 3.40% Senior Notes due September 15, 2026 (the “2026 Notes”) at maturity, with the remainder being used for working capital and other general corporate purposes (including, at our discretion, repayment of commercial paper and amounts, if any, outstanding under our multicurrency revolving credit facility).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Certain Tax Considerations </w:t>
            </w:r>
          </w:p>
        </w:tc>
        <w:tc>
          <w:tcPr>
            <w:tcW w:w="6328" w:type="dxa"/>
            <w:tcBorders/>
          </w:tcPr>
          <w:p>
            <w:pPr>
              <w:pStyle w:val="TableContents"/>
              <w:bidi w:val="0"/>
              <w:spacing w:before="0" w:after="283"/>
              <w:jc w:val="left"/>
              <w:rPr/>
            </w:pPr>
            <w:r>
              <w:rPr/>
              <w:t xml:space="preserve">You should contact your tax advisor with respect to the U.S. federal, state, local and non-U.S. tax considerations of owning and disposing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“Certain United States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6"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7" w:type="dxa"/>
            <w:tcBorders/>
          </w:tcPr>
          <w:p>
            <w:pPr>
              <w:pStyle w:val="TableContents"/>
              <w:bidi w:val="0"/>
              <w:spacing w:before="0" w:after="283"/>
              <w:jc w:val="left"/>
              <w:rPr/>
            </w:pPr>
            <w:r>
              <w:rPr/>
              <w:t xml:space="preserve">The notes and the indenture that will govern the notes offered hereby will be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Investing in the notes involves substantial risk. In evaluating an investment in the notes, prospective investors should carefully consider, along with the other information contained in, or incorporated by reference into, this prospectus supplement and the accompanying prospectus, the specific factors set forth under “Risk Factors” beginning on page S-5 of this prospectus supplement for risks involved with an investment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4661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below and in the documents incorporated by reference into this prospectus supplement and the accompanying prospectus before making a decision to invest in the notes. Some of these factors relate principally to our business and the industry in which we operate. Other factors relate principally to your investment in the notes. The risks and uncertainties described below are not the only ones we face. Additional risks and uncertainties not presently known to us or that we currently deem immaterial may also materially and adversely affect our business and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If any of the matters included in the following risks were to occur, our business, financial condition, results of operations, cash flows or prospects could be materially and adversely affected. In such case, you may lose all or part of your original investment. </w:t>
      </w:r>
    </w:p>
    <w:p>
      <w:pPr>
        <w:pStyle w:val="TextBody"/>
        <w:bidi w:val="0"/>
        <w:spacing w:before="240" w:after="0"/>
        <w:jc w:val="left"/>
        <w:rPr>
          <w:rFonts w:ascii="Times New Roman" w:hAnsi="Times New Roman"/>
          <w:i/>
          <w:sz w:val="20"/>
        </w:rPr>
      </w:pPr>
      <w:r>
        <w:rPr>
          <w:rFonts w:ascii="Times New Roman" w:hAnsi="Times New Roman"/>
          <w:i/>
          <w:sz w:val="20"/>
        </w:rPr>
        <w:t xml:space="preserve">The risks discussed below also include forward-looking statements, and our actual results may differ substantially from those discussed in these forward-looking statements. See “Cautionary Note Regarding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number of risks and uncertainties. You should review the section entitled “Risk Factors” in our Annual Report on Form 10-K for the fiscal year ended September 30, 2025, which is incorporated by reference herein, for a discussion of the factors you should consider carefully before deciding to invest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effectively junior to the existing and future liabilities of our subsidiaries and to our secured debt to the extent of the assets securing that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are separate and distinct legal entities. Our subsidiaries have no obligation to pay any amounts due on the notes. In addition, any payment of dividends, loans, or advances by our subsidiaries could be subject to statutory or contractual restrictions. Payments to us by our subsidiaries will also be contingent upon the subsidiaries’ earnings and business considerations. Our right to receive any assets of any of our subsidiaries upon their bankruptcy, liquidation or reorganization, and therefore the right of the holders of the notes to participate in those assets, will be effectively subordinated to the claims of that subsidiary’s creditors, including trade creditors. The indenture will not restrict the amount of additional debt that we may incur. In addition, even if we were a creditor of any of our subsidiaries, our right as a creditor would be subordinate to any security interest in the assets of our subsidiaries and any indebtedness of our subsidiaries senior to that held by us. As of June 30, 2026, our subsidiaries had approximately $187 million of external debt, including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unsecured obligations and will rank equally in right of payment with all of our other existing and future senior obligations. The notes are not secured by any of our assets. In the event that we are declared bankrupt, become insolvent or are liquidated or reorganized, any debt that ranks ahead of the notes will be entitled to be paid in full from our assets before any payment may be made with respect to the notes. Holders of the notes will participate ratably with all holders of our unsecured indebtedness that are deemed to be of the same class as the notes, and potentially with all of our other general creditors, based upon the respective amounts owed to each holder or creditor, in our remaining assets. In any of the foregoing circumstances, there may not be sufficient assets to pay amounts due on the notes. As a result, holders of the notes may receive less, ratably, than holders of secured indebtedness. As of June 30, 2026, the Company, exclusive of its subsidiaries, had approximately $15 million of secured debt outstanding to which the notes will be effectively subordinated (to the extent of the value of the collateral securing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indenture governing the notes will contain certain limitations on our ability to incur secured indebtedness, it will nevertheless permit us to incur a significant amount of secured indebtedness, and the notes will be effectively junior to this secured indebtedness to the extent of the realized value of the assets securing such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additional indebtedness ranking equal to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will not contain any financial or operating covenants that would prohibit or limit us or our subsidiaries from incurring additional indebtedness and other liabilities ranking equal to the notes, paying dividends or issuing securities or repurchasing securities issued by us or any of our subsidiaries. The incurrence of additional indebtedness could adversely affect our ability to pay our obligations on the notes. We anticipate that from time to time we may incur additional indebtedness in the future. As of June 30, 2026, we had $1.1 billion of undrawn availability under our multicurrency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If we incur additional indebtedness that ranks equally with the notes, including trade payables, the holders of that debt will be entitled to share ratably with you in any proceeds distributed in connection with our insolvency, liquidation, reorganization, dissolution or other winding-up. This may have the effect of reducing the amount of proceeds paid to you.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the liens covenant contains exceptions for specified “permitted liens” that would allow us and our subsidiaries to borrow substantial additional amounts and to grant liens or security interests with respect to our assets in connection with those borrowings. In light of these exceptions, holders of the notes may be structurally subordinated to new lenders.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securities for which there is currently no market. We have not listed and do not intend to list the notes on any U.S. national securities exchange or quotation system. We cannot assure you that any market for the notes will develop or be sustained. If an active market is not developed or sustained, the market price and liquidity of the notes may be adversely affected. In that case, the holders of the notes may not be able to sell their notes at a particular time or at a favorable price. We have been advised by certain of the underwriters that they presently intend to make a market in the notes after completion of the offering. However, they are under no obligation to do so and may discontinue any market-making activities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Even if an active trading market for the notes does develop, there is no guarantee that it will continue. The market, if any, for the notes may experience disruptions, and any such disruptions may adversely affect the liquidity in that market or the prices at which you may sell your notes. In addition, subsequent to their initial issuance, the notes may trade at a discount from their initial offering price, depending upon prevailing interest rates, the market for similar notes, our performance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each holder of the notes will have the right to require us to repurchase all or any part of such holder’s notes at a price equal to 101% of their principal amount, plus accrued and unpaid interest, if any, to, but excluding, the repurchase date. Additionally, under our multicurrency revolving credit facility, a change of control (as defined therein) constitutes an event of default that permits the lenders to accelerate the maturity of borrowings under the multicurrency revolving credit facility and the commitments thereunder would terminate. The source of funds for any purchase of the notes and repayment of borrowings under our multicurrency revolving credit facility would be our available cash or cash generated from our subsidiaries’ operations or other sources, including borrowings, sales of assets or sales of equity. We may not be able to repurchase the notes upon a Change of Control Triggering Event because we may not have sufficient financial resources to purchase all of the notes that are tendered upon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Triggering Event and repay our other indebtedness that will become due. If we fail to repurchase the notes in that circumstance, we will be in default under the indenture that will govern the notes. We may require additional financing from third parties to fund any such purchases, and we may be unable to obtain financing on satisfactory terms or at all. In order to avoid the obligation to repurchase the notes and events of default and potential breaches of the credit agreements governing our multicurrency revolving credit facility, we may have to avoid certain change of control transactions that would otherwise be beneficial to us. </w:t>
      </w:r>
    </w:p>
    <w:p>
      <w:pPr>
        <w:pStyle w:val="TextBody"/>
        <w:bidi w:val="0"/>
        <w:spacing w:before="240" w:after="0"/>
        <w:jc w:val="left"/>
        <w:rPr>
          <w:rFonts w:ascii="Times New Roman" w:hAnsi="Times New Roman"/>
          <w:sz w:val="20"/>
        </w:rPr>
      </w:pPr>
      <w:r>
        <w:rPr>
          <w:rFonts w:ascii="Times New Roman" w:hAnsi="Times New Roman"/>
          <w:sz w:val="20"/>
        </w:rPr>
        <w:t xml:space="preserve">The exercise by the holders of notes of their right to require us to repurchase the notes pursuant to a Change of Control Triggering Event could cause a default under the agreements governing our other indebtedness, including future agreements, even if the change of control itself does not, due to the financial effect of such repurchases on us. In the event a Change of Control Triggering Event occurs when we are prohibited from purchasing notes, we could attempt to refinance the borrowings that contain such prohibitions. If we do not obtain a consent or repay those borrowings, we will remain prohibited from purchasing notes. In that case, our failure to purchase tendered notes would constitute an event of default under the indenture governing the notes which could, in turn, constitute a default under our other indebtedness. Finally, our ability to pay cash to the holders of notes upon a repurchase may be limited by our then existing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not be able to determine when a Change of Control Triggering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One of the circumstances under which a Change of Control Triggering Event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another person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indenture and the notes will provide only limited protection against significant corporate events that could adversely impact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While the indenture and the notes will contain terms intended to provide protection to noteholders upon the occurrence of certain events involving significant corporate transactions and our creditworthiness, such terms are limited and may not be sufficient to protect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the term “Change of Control Triggering Event” as described under “Description of Notes—Change of Control Triggering Event” does not cover a variety of transactions (such as acquisitions by us or recapitalizations) that could negatively affect the value of your notes. If we were to enter into a significant corporate transaction that would negatively affect the value of the notes but would not constitute a Change of Control Triggering Event, we would not be required to offer to repurchase your notes prior to their maturity.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governing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rank effectively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ability of our unrestricted subsidiaries to service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any other of our securities or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sell, merge or consolidate any of our unrestricted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foregoing, when evaluating the terms of the notes, you should be aware that the terms of the indenture and the notes will not restrict our ability to engage in, or to otherwise be a party to, a variety of corporate transactions, circumstances and events that could have an adverse impact on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credit ratings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our corporate borrowing costs and our ability to access debt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risks associated with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indebtedness and any additional indebtedness we incur may have negative consequences to our business,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use cash to pay the principal of and interest on our indebtedness, thereby reducing the amount of cash flow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for working capital, capital expenditures, acquisitions, stock repurchases, dividends 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interest rate fluctuations to the extent a portion of our debt has variable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our outstanding indebtedness was $1,273 million, and after giving effect to this offering and the use of proceeds therefrom, we would have had $1,373 million of indebtedness outstanding. Our ability to make payments of principal and interest on our indebtedness depends upon our future performance, which is subject to general economic conditions, industry cycles and financial, business and other factors, many of which are beyond our control. If we are unable to generate sufficient cash flow from operations in the future to service our debt, we may be required to, among other things: repatriate funds to the United States at substantial tax cost; refinance or restructure all or a portion of our indebtedness; reduce or delay planned capital or operating expenditures; or sell selected assets. Such measures might not be sufficient to enable us to service our debt. In addition, any such financing, refinancing or sale of assets might not be available on economically favorable terms or at all, and if prevailing interest rates at the time of any such financing and/or refinancing are higher than our current rates, interest expense related to such financing and/or refinancing would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our revolving credit facilities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would correspondingly decrease. Assuming all loans under our multicurrency revolving credit facility were fully drawn, each quarter point increase in interest rates could result in a $3.3 million increase in annual interest expense on our indebtedness under our multicurrency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 facility. In the future, in addition to other derivatives,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4661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are estimated to be $347.7 million after deducting the underwriting discount and offering expenses payable by us. We intend to use the net proceeds from this offering to repay our $250 million aggregate principal amount of 2026 Notes at maturity, with the remainder being used for working capital and other general corporate purposes (including, at our discretion, repayment of commercial paper and amounts, if any, outstanding under our multicurrency revolving credit facility). This prospectus shall not constitute a notice of or a solicitation of an offer to redeem the 2026 Notes.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and/or their respective affiliates may hold a portion of our 2026 Notes or commercial paper or are lenders under our multicurrency revolving credit facility and, as a result, may receive a portion of the net proceeds from this offering.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4661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unaudited consolidated cash and cash equivalents and capitalization as of June 30, 2026 on an actual basis and on an as adjusted basis after giving effect to this offering and the use of proceeds therefrom as specified under “Use of Proceeds.” You should read this table in conjunction with our unaudited consolidated financial statements and related notes thereto, which are incorporated by reference in this prospectus, as well as the section entitled “Use of Proceeds.”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1"/>
        <w:gridCol w:w="409"/>
        <w:gridCol w:w="140"/>
        <w:gridCol w:w="570"/>
        <w:gridCol w:w="166"/>
        <w:gridCol w:w="409"/>
        <w:gridCol w:w="192"/>
        <w:gridCol w:w="769"/>
        <w:gridCol w:w="159"/>
      </w:tblGrid>
      <w:tr>
        <w:trPr/>
        <w:tc>
          <w:tcPr>
            <w:tcW w:w="4941"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4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59" w:type="dxa"/>
            <w:tcBorders/>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46" w:type="dxa"/>
            <w:gridSpan w:val="6"/>
            <w:tcBorders/>
            <w:vAlign w:val="bottom"/>
          </w:tcPr>
          <w:p>
            <w:pPr>
              <w:pStyle w:val="TableContents"/>
              <w:bidi w:val="0"/>
              <w:spacing w:before="0" w:after="283"/>
              <w:jc w:val="center"/>
              <w:rPr>
                <w:b/>
              </w:rPr>
            </w:pPr>
            <w:r>
              <w:rPr>
                <w:b/>
              </w:rPr>
              <w:t>(Dollars in millions)</w:t>
            </w:r>
          </w:p>
        </w:tc>
        <w:tc>
          <w:tcPr>
            <w:tcW w:w="159" w:type="dxa"/>
            <w:tcBorders/>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pPr>
            <w:r>
              <w:rPr>
                <w:b/>
              </w:rPr>
              <w:t>As</w:t>
            </w:r>
            <w:r>
              <w:rPr/>
              <w:br/>
            </w:r>
            <w:r>
              <w:rPr>
                <w:b/>
              </w:rPr>
              <w:t>Adjusted</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250</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348</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Variable rate:</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 due fiscal 2026, 3.92%</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118</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118</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Multicurrency Revolving Credit Facility, expires fiscal 2031(1)</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84</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84</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Facilities — Indonesia, expire fiscal 2027(2)</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51</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51</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variable rate debt</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253</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253</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rate:</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3.40% Senior Notes due fiscal 2026</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250</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4.00% Senior Notes due fiscal 2029</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300</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300</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5.00% Senior Notes due fiscal 2032</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400</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350</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Medium Term Notes due fiscal 2028, 6.57%-7.28%</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Chinese Renminbi Debt, due fiscal 2026-2027, 2.30%-4.30%</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19</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19</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Japanese Yen Debt, due fiscal 2031, 1.73%</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fixed rate debt</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985</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1,085</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 due through fiscal 2038</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40</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 and debt discount</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1,273</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1,373</w:t>
            </w:r>
          </w:p>
        </w:tc>
        <w:tc>
          <w:tcPr>
            <w:tcW w:w="159" w:type="dxa"/>
            <w:tcBorders/>
            <w:vAlign w:val="bottom"/>
          </w:tcPr>
          <w:p>
            <w:pPr>
              <w:pStyle w:val="TableContents"/>
              <w:bidi w:val="0"/>
              <w:spacing w:before="0" w:after="283"/>
              <w:jc w:val="left"/>
              <w:rPr/>
            </w:pPr>
            <w:r>
              <w:rPr/>
              <w:t> </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1,734</w:t>
            </w:r>
          </w:p>
        </w:tc>
        <w:tc>
          <w:tcPr>
            <w:tcW w:w="16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1,734</w:t>
            </w:r>
          </w:p>
        </w:tc>
        <w:tc>
          <w:tcPr>
            <w:tcW w:w="159" w:type="dxa"/>
            <w:tcBorders/>
            <w:shd w:fill="CCEEFF" w:val="clear"/>
            <w:vAlign w:val="bottom"/>
          </w:tcPr>
          <w:p>
            <w:pPr>
              <w:pStyle w:val="TableContents"/>
              <w:bidi w:val="0"/>
              <w:spacing w:before="0" w:after="283"/>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3,007</w:t>
            </w:r>
          </w:p>
        </w:tc>
        <w:tc>
          <w:tcPr>
            <w:tcW w:w="16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3,107</w:t>
            </w:r>
          </w:p>
        </w:tc>
        <w:tc>
          <w:tcPr>
            <w:tcW w:w="15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there was $1.1 billion of undrawn availability under our multicurrency revolving credit facility.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there was $19 million of undrawn availability under our Indonesia revolving credit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46611_7"/>
      <w:bookmarkEnd w:id="9"/>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notes offered hereby will constitute a new series of debt securities to be issued under the indenture dated as of June 22, 2022, as supplemented by the second supplemental indenture to be dated on or about August 21, 2026 (collectively, the “Indenture”), by and between Cabot Corporation and U.S. Bank Trust Company, National Association, as trustee (successor in interest to U.S. Bank National Association) (the “Trustee”). The following description is only a summary of certain provisions of the notes and the Indenture. You should read these documents in their entirety because they, and not this description, define your rights as holders of the notes. Unless the context requires otherwise, all references to “Cabot,” “we” and the “Company” include only Cabot Corporation and not its subsidiaries. Capitalized terms used in this description but not defined herein will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4.950% Senior Notes due 2029 will be referred to herein as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in an aggregate principal amount of $350,000,000 and will mature on August 15, 2029. The notes will be issued only in fully registered form without coupons in minimum denominations of $2,000 and integral multiples of $1,000 above that amount. The notes will not be entitled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at the rate per annum shown on the cover of this prospectus supplement from August 21, 2026, or from the most recent date to which interest has been paid or provided for, payable semi-annually in arrears on February 15 and August 15 of each year, beginning on February 15, 2027, to the persons in whose names the notes are registered in the security register at the close of business on February 1 or August 1 immediately preceding the relevant interest payment date, except that interest payable at maturity shall be paid to the same persons to whom principal of the notes is payable. Interest will be computed on the notes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apply for listing of the notes on any national securities exchange or for quotation of the notes on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equally in right of payment with all our other senior unsecured indebtedness, including any indebtedness outstanding under our revolving credit facilities, our 4.00% Senior Notes due fiscal 2029 and our 5.00% Senior Notes due fiscal 2032. The notes will be effectively subordinated to any of our existing and future secured indebtedness to the extent of the value of the assets securing such indebtedness and structurally subordinated to all liabilities of our subsidiaries, none of which will guarantee the notes. As of June 30, 2026, after giving effect to this offering and the use of proceeds therefrom, we would have had $1,373 million of total indebtedness (including the notes) that ranks equally with the notes. In addition, as of June 30, 2026, we, exclusive of our subsidiaries, had $15 million of secured indebtedness to which the notes will be effectively subordinated (to the extent of the value of the collateral securing such debt).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guaranteed by any of our subsidiaries and will therefore be structurally subordinated to all existing and future indebtedness and other obligations, including trade payables, of our subsidiaries. As of June 30, 2026, our subsidiaries had approximately $187 million of external debt, including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there was $1.1 billion of undrawn availability under our multicurrency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not limit the incurrence by us or our subsidiaries of other unsecured indebtedness and does not limit the incurrence of secured indebtedness by our subsidiaries which are not restricted subsidiaries.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 date of the notes, all of our subsidiaries operating, or owning assets, primarily in the United States will be restricted subsidiaries other than Cabot International Capital Corporation. The Indenture and the terms of the notes will not contain any covenants (other than those described herein and in the accompanying prospectus) designed to afford holders of any notes protection in a highly leveraged or other transaction involving us that may adversely affect holders of the notes. See “Risk Factors—Risks Relating to the Notes—The notes are effectively junior to the existing and future liabilities of our subsidiaries and to our secured debt to the extent of the assets securing that indebtedness,” “—We may incur additional indebtedness ranking equal to the notes” and “—The terms of the indenture and the notes will provide only limited protection against significant corporate events that could adversely impact your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Prior to July 15, 2029 (one month prior to their maturity date) (the “</w:t>
      </w:r>
      <w:r>
        <w:rPr>
          <w:rFonts w:ascii="Times New Roman" w:hAnsi="Times New Roman"/>
          <w:i/>
          <w:sz w:val="20"/>
        </w:rPr>
        <w:t>Par Call Date</w:t>
      </w:r>
      <w:r>
        <w:rPr>
          <w:rFonts w:ascii="Times New Roman" w:hAnsi="Times New Roman"/>
          <w:sz w:val="20"/>
        </w:rPr>
        <w:t xml:space="preserve">”), we may redeem the notes at our option, in whole or in part, at any time and from time to time, on not less than 10 nor more than 60 days’ prior notice mailed (or delivered by electronic transmission in accordance with the applicable procedures of DTC) to the holders of the notes,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we shall calculate the Treasury Rate based on the rate per annum equal to the semi-annual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redemption date interest will cease to accrue on the notes or portions thereof called for redemption. Prior to any redemption date, we are required to deposit with a paying agent money sufficient to pay the redemption price of and accrued interest on the notes to be redeemed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may, at the Company’s discretion, be subject to one or more conditions precedent, including, but not limited to, the completion or occurrence of a related transaction or event, as the case may be, and any notice of redemption made in connection with a related transaction or event may, at the Company’s discretion, be given prior to the completion or the occurrence thereof. If such redemption is subject to satisfaction of one or more conditions precedent, such notice will describe each such condition, and if applicable, will state that (a) the redemption date may be delayed, at our discretion, until such time (including more than 60 days after the date the notice of redemption was mailed or delivered, including by electronic transmission) as any or all such conditions are satisfied (or waived by us in our sole discretion), (b) such redemption may not occur and such notice may be rescinded in the event that any or all such conditions are not satisfied (or waived by us in our sole discretion) by the redemption date, or by the redemption date as so delayed, and/or (c) such notice may be rescinded at any time in our discretion if in our good faith judgment any or all of such conditions will not be satisfied. If any such condition precedent has not been satisfied, we shall provide written notice prior to the redemption date. Upon receipt of such notice, the notice of redemption shall be rescinded or delayed, and the redemption of the notes shall be rescinded or delayed as provided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Upon the occurrence of a Change of Control Triggering Event with respect to the notes, unless we have exercised our right to redeem the notes by giving notice to the Trustee as described under “—Optional Redemption” and in accordance with the Indenture, each holder of the notes will have the right to require us to purchase all or a portion of such holder’s notes pursuant to the offer described below (the “</w:t>
      </w:r>
      <w:r>
        <w:rPr>
          <w:rFonts w:ascii="Times New Roman" w:hAnsi="Times New Roman"/>
          <w:i/>
          <w:sz w:val="20"/>
        </w:rPr>
        <w:t>Change of Control Offer</w:t>
      </w:r>
      <w:r>
        <w:rPr>
          <w:rFonts w:ascii="Times New Roman" w:hAnsi="Times New Roman"/>
          <w:sz w:val="20"/>
        </w:rPr>
        <w:t>”), at a purchase price equal to 101% of the principal amount thereof, plus accrued and unpaid interest, if any, to, but excluding, the repurchase date (the “</w:t>
      </w:r>
      <w:r>
        <w:rPr>
          <w:rFonts w:ascii="Times New Roman" w:hAnsi="Times New Roman"/>
          <w:i/>
          <w:sz w:val="20"/>
        </w:rPr>
        <w:t>Change of Control Payment</w:t>
      </w:r>
      <w:r>
        <w:rPr>
          <w:rFonts w:ascii="Times New Roman" w:hAnsi="Times New Roman"/>
          <w:sz w:val="20"/>
        </w:rPr>
        <w:t xml:space="preserve">”), subject to the rights of holders of the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Within 30 days following the date upon which the Change of Control Triggering Event occurred with respect to the notes, or at our option, prior to any Change of Control but after the first public announcement by us of the pending Change of Control if a definitive agreement is in place with respect to the event constituting a Change of Control at the time of mailing the Change of Control Offer, we will be required to send, by first class mail (or delivered by electronic transmission in accordance with the applicable procedures of DTC), a notice to each holder of the notes, with a copy to the Trustee, which notice will govern the terms of the Change of Control Offer. Such notice will state, among other things, the purchase date, which must be no earlier than 30 days nor later than 60 days from the date such notice is mailed (or delivered by electronic transmission in accordance with the applicable procedures of DTC), other than as may be required by law (the “</w:t>
      </w:r>
      <w:r>
        <w:rPr>
          <w:rFonts w:ascii="Times New Roman" w:hAnsi="Times New Roman"/>
          <w:i/>
          <w:sz w:val="20"/>
        </w:rPr>
        <w:t>Change of Control Payment Date</w:t>
      </w:r>
      <w:r>
        <w:rPr>
          <w:rFonts w:ascii="Times New Roman" w:hAnsi="Times New Roman"/>
          <w:sz w:val="20"/>
        </w:rPr>
        <w:t xml:space="preserve">”). The notice, if mailed (or delivered by electronic transmission in accordance with the applicable procedures of DTC) prior to the date of consummation of the Change of Control, will state that the Change of Control Offer is conditioned on the Change of Control being consummated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such notice is delivered prior to the occurrence of a pending Change of Control stating that the Change of Control Offer is conditional on the occurrence of such Change of Control and, if applicable, such notice will state that (a) the Change of Control Payment Date may be delayed, at our discretion, until such time (including more than 60 days after the date the notice was mailed or delivered, including by electronic transmission) as any or all such conditions are satisfied, (b) such purchase may not occur and such notice may be rescinded in the event that any or all such conditions are not satisfied by the Change of Control Payment Date, or by the Change of Control Payment Date as so delayed, and/or (c) such notice may be rescinded at any time in our discretion in our good faith judgment any or all of such conditions will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repurchased and that all conditions precedent to the Change of Control Offer and to the repurchase by us or by a third party of notes pursuant to the Change of Control Offer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notes, we will comply with those securities laws and regulations and will not be deemed to have breached our obligations under the Change of Control Offer provisions of the notes and the Indenture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Change of Control Offer, the following definitions are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after the date of issuance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lease, transfer, conveyance or other disposition (other than by way of merger or consolidation), in one or a series of related transactions, of all or substantially all of the assets of Cabot and its subsidiaries taken as a whole to any “person” or “group” (as those terms are used in Section 13(d)(3) of the Exchange Act) other than to Cabot or one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(as those terms are used in Section 13(d)(3) of the Exchange Act, it being agreed that an employee of Cabot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other than Cabot or one of its subsidiaries, becomes the “beneficial owner” (as defined in Rules 13d-3 and 13d-5 under the Exchange Act), directly or indirectly, of our Voting Stock representing more than 50% of the voting power of our outstanding Voting Stock; </w:t>
            </w:r>
            <w:r>
              <w:rPr>
                <w:rFonts w:ascii="Times New Roman" w:hAnsi="Times New Roman"/>
                <w:i/>
                <w:sz w:val="20"/>
              </w:rPr>
              <w:t xml:space="preserve">provided </w:t>
            </w:r>
            <w:r>
              <w:rPr>
                <w:rFonts w:ascii="Times New Roman" w:hAnsi="Times New Roman"/>
                <w:sz w:val="20"/>
              </w:rPr>
              <w:t xml:space="preserve">that a merger shall not constitute a “change of control” under this definition if (i) the sole purpose of the merger is our reincorporation in another state and (ii) our shareholders and the number of shares of our Voting Stock, measured by voting power and number of shares, owned by each of them immediately before and immediately following such merger are identical;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more than 50% of the voting power of the Voting Stock of the surviving Person immediately after giving effect to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any of the Existing Notes remain outstanding, during any period of 24 consecutive calendar months, the majority of the members of our board of directors shall no longer be composed of individuals (a) who were members of our board of directors on the first day of such period or (b) whose nomination or election (either by a specific vote or by approval of our proxy statement in which such member was named as a nominee for election as a director) to our board of directors was approved by (i) individuals referred to in clause (a) above or (ii) other directors described in this clause (b), in each case collectively constituting, at the time of such nomination or election, at least a majority of our board of directors or, if directors are nominated by a committee of our board of directors, constituting at the time of such nomination, at least a majority of such committee;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our board of directors or shareholders, of a plan relating to our liquidation or dissolution. </w:t>
            </w:r>
          </w:p>
        </w:tc>
      </w:tr>
    </w:tbl>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means the notes are rated below Investment Grade by both of the Rating Agencies on any date during the period (the “</w:t>
      </w:r>
      <w:r>
        <w:rPr>
          <w:rFonts w:ascii="Times New Roman" w:hAnsi="Times New Roman"/>
          <w:i/>
          <w:sz w:val="20"/>
        </w:rPr>
        <w:t>Trigger Period</w:t>
      </w:r>
      <w:r>
        <w:rPr>
          <w:rFonts w:ascii="Times New Roman" w:hAnsi="Times New Roman"/>
          <w:sz w:val="20"/>
        </w:rPr>
        <w:t xml:space="preserve">”) commencing on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downgrade); </w:t>
      </w:r>
      <w:r>
        <w:rPr>
          <w:rFonts w:ascii="Times New Roman" w:hAnsi="Times New Roman"/>
          <w:i/>
          <w:sz w:val="20"/>
        </w:rPr>
        <w:t xml:space="preserve">provided </w:t>
      </w:r>
      <w:r>
        <w:rPr>
          <w:rFonts w:ascii="Times New Roman" w:hAnsi="Times New Roman"/>
          <w:sz w:val="20"/>
        </w:rPr>
        <w:t xml:space="preserve">that a particular downgrade in rating shall not be deemed to have occurred in respect of a particular Change in Control (and thus shall not result in a Change of Control Triggering Event) if any of the Rating Agencies making the downgrade in rating to which this definition would otherwise apply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announce or publicly confirm or inform the Trustee in writing at its request that the downgrade was the result, in whole or in part, of any event or circumstance comprised of or arising as a result of, or in respect of, the applicable Change of Control (whether or not the applicable Change of Control shall have occurred at the time of the Rating Event). If a Rating Agency is not providing a rating for the notes at the commencement of any Trigger Period, the notes will be deemed to have ceased to be called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i/>
          <w:sz w:val="20"/>
        </w:rPr>
        <w:t>Existing Notes</w:t>
      </w:r>
      <w:r>
        <w:rPr>
          <w:rFonts w:ascii="Times New Roman" w:hAnsi="Times New Roman"/>
          <w:sz w:val="20"/>
        </w:rPr>
        <w:t xml:space="preserve">” means the Company’s 4.00% Senior Notes due fiscal 2029 and 5.00% Senior Notes due fiscal 2032.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or any successor to its rating agency business.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business trust, association, joint-stock company, joint venture, trust, incorporated or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each of Moody’s and S&amp;P; </w:t>
      </w:r>
      <w:r>
        <w:rPr>
          <w:rFonts w:ascii="Times New Roman" w:hAnsi="Times New Roman"/>
          <w:i/>
          <w:sz w:val="20"/>
        </w:rPr>
        <w:t xml:space="preserve">provided </w:t>
      </w:r>
      <w:r>
        <w:rPr>
          <w:rFonts w:ascii="Times New Roman" w:hAnsi="Times New Roman"/>
          <w:sz w:val="20"/>
        </w:rPr>
        <w:t xml:space="preserve">that if any of Moody’s or S&amp;P ceases to rate the notes or fails to make a rating of the notes publicly available for reasons outside of our control, we may appoint another “nationally recognized statistical rating organization” as such term is defined in Section 3(a)(62) under the Exchange Act as a replacement for Moody’s or S&amp;P, or both of them, as the case may be; </w:t>
      </w:r>
      <w:r>
        <w:rPr>
          <w:rFonts w:ascii="Times New Roman" w:hAnsi="Times New Roman"/>
          <w:i/>
          <w:sz w:val="20"/>
        </w:rPr>
        <w:t xml:space="preserve">provided </w:t>
      </w:r>
      <w:r>
        <w:rPr>
          <w:rFonts w:ascii="Times New Roman" w:hAnsi="Times New Roman"/>
          <w:sz w:val="20"/>
        </w:rPr>
        <w:t xml:space="preserve">that we shall give notice of such appointment to the Trustee.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means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the properties or assets of Cabot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Cabot and its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make the Change of Control Payment to holders of the notes following a Change of Control Triggering Event may be limited by our then-existing financial resources. Sufficient funds may not be available when necessary to make any required purchases of notes. See “Risk Factors—Risks Relating to the Notes—We may not be able to repurchase the notes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the Indenture relative to our obligation to make an offer to purchase the notes as a result of a Change of Control Triggering Event may be waived or modified with the written consent of the holders of a majority in principal amount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These notes are also subject to certain covenants as well as modification provisions, which are described in the accompanying prospectus. For a more detailed description, see “Description of Debt Securities”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at any time and from time to time acquire notes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notes offered hereby or any future series that we may issue. We may from time to time, without notice to or the consent of the registered holders of the notes, create and issue additional notes of the same series as the notes offered hereby, ranking equally and ratably with the notes being issued in this offering in all respects (other than the issue date, price to public and, if applicable, the payment of interest accruing prior to the issue date of such additional notes and the initial interest payment date); </w:t>
      </w:r>
      <w:r>
        <w:rPr>
          <w:rFonts w:ascii="Times New Roman" w:hAnsi="Times New Roman"/>
          <w:i/>
          <w:sz w:val="20"/>
        </w:rPr>
        <w:t xml:space="preserve">provided </w:t>
      </w:r>
      <w:r>
        <w:rPr>
          <w:rFonts w:ascii="Times New Roman" w:hAnsi="Times New Roman"/>
          <w:sz w:val="20"/>
        </w:rPr>
        <w:t xml:space="preserve">that if any such additional notes are not treated as fungible with the notes issued in this offering for U.S. federal income tax purposes, such additional notes will have one or more separate CUSIP numbers and ISINs from the notes issued in this offering. Any such additional notes, together with the notes offered hereby, shall be consolidated and form a single series of notes under the Indenture, including for purposes of voting and redemptions. No additional notes may be issued if an Event of Default has occurred and is continuing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The Company may, at its option and at any time, elect to have all of its obligations discharged with respect to the outstanding notes and the Indenture (“</w:t>
      </w:r>
      <w:r>
        <w:rPr>
          <w:rFonts w:ascii="Times New Roman" w:hAnsi="Times New Roman"/>
          <w:i/>
          <w:sz w:val="20"/>
        </w:rPr>
        <w:t>Legal Defeasance</w:t>
      </w:r>
      <w:r>
        <w:rPr>
          <w:rFonts w:ascii="Times New Roman" w:hAnsi="Times New Roman"/>
          <w:sz w:val="20"/>
        </w:rPr>
        <w:t xml:space="preserv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notes to receive payments in respect of the principal of, or interest or premium, if any, on such notes when such payments are due from the trust referred to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obligations with respect to the notes concerning issuing temporary notes, registration of notes, mutilated, destroyed, lost or stolen notes and the maintenance of an office or agency for payment and money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Company’s obligations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In addition, the Company may, at its option and at any time, elect to have the obligations of the Company released with respect to certain covenants in the Indenture (“</w:t>
      </w:r>
      <w:r>
        <w:rPr>
          <w:rFonts w:ascii="Times New Roman" w:hAnsi="Times New Roman"/>
          <w:i/>
          <w:sz w:val="20"/>
        </w:rPr>
        <w:t>Covenant Defeasance</w:t>
      </w:r>
      <w:r>
        <w:rPr>
          <w:rFonts w:ascii="Times New Roman" w:hAnsi="Times New Roman"/>
          <w:sz w:val="20"/>
        </w:rPr>
        <w:t xml:space="preserve">”) and thereafter any omission to comply with those covenants will not constitute a Default or Event of Default with respect to the notes. In the event Covenant Defeasance occurs, certain events (not including non-payment, bankruptcy and insolvency events) described under “Description of Debt Securities—Events of Default and Notice Thereof” in the accompanying prospectus will no longer constitute Events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irrevocably deposit with the Trustee, in trust, for the benefit of the holders of the notes, cash in U.S. dollars, U.S. dollar-denominated Government Securities, or a combination thereof, in such amounts as will be sufficient, in the opinion of a nationally recognized investment bank, appraisal firm or firm of independent public accountants, to pay the principal of, premium, if any, and interest due on the notes on the date of maturity or redemption thereof, as the case may be, and the Company must specify whether the notes are being defeased to maturity or to a particular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the Company shall have delivered to the Trustee an Opinion of Counsel reasonably acceptable to the Trustee confirming that, subject to customary assumptions and 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received from, or there has been published by, the United States Internal Revenue Service a ruling,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issue date of the notes, there has been a change in the applicable U.S.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the Company shall have delivered to the Trustee an Opinion of Counsel reasonably acceptable to the Trustee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(other than that resulting from any borrowing of funds to be applied to make the deposit required to effect such Legal Defeasance or Covenant Defeasance and any similar and simultaneous deposit relating to other Debt and, in each case, the granting of Liens in connection therewith)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Legal Defeasance or Covenant Defeasance shall not result in a breach or violation of, or constitute a default under, any other agreement or instrument to which the Company is a party or by which it is bound (other than an Event of Default resulting from borrowing of funds to be applied to such deposit and any similar and simultaneous deposit relating to other indebtedness, and in each case, the grant of any lien securing such borrowing);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deliver to the Trustee an Officers’ Certificate stating that the deposit was not made by the Company with the intent of defeating, hindering, delaying or defrauding any creditors of the Company or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dated as of September 15, 2016, pursuant to which we issued our 4.00% Senior Notes due 2029. U.S. Bank Trust Company, National Association is also the trustee under the Indenture, pursuant to which we issued our 5.00% Senior Notes due 2032. We may, from time to time, borrow from or maintain deposit accounts and conduct other banking transactions with U.S. Bank Trust Company, National Association or its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Notices given by publication will be deemed given on the first date on which publication is made, and notices given by first-class mail, postage prepaid, will be deemed given five calendar days after mailing. Notwithstanding any other provision of the Indenture or any note, where the Indenture or any note provides for notice of any event (including any notice of redemption) to any holder of an interest in a global note (whether by mail or otherwise), such notice shall be sufficiently given if given to DTC or any other applicable depositary for such note (or its designee) according to the applicable procedures of DTC or such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in the form of one or more global notes in definitive, fully registered, book-entry form. The global notes will be deposited with or on behalf of DTC and registered in the name of Cede &amp; Co., as nominee of DTC.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Clearstream and Euroclear </w:t>
      </w:r>
    </w:p>
    <w:p>
      <w:pPr>
        <w:pStyle w:val="TextBody"/>
        <w:bidi w:val="0"/>
        <w:spacing w:before="120" w:after="0"/>
        <w:jc w:val="left"/>
        <w:rPr>
          <w:rFonts w:ascii="Times New Roman" w:hAnsi="Times New Roman"/>
          <w:sz w:val="20"/>
        </w:rPr>
      </w:pPr>
      <w:r>
        <w:rPr>
          <w:rFonts w:ascii="Times New Roman" w:hAnsi="Times New Roman"/>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w:t>
      </w:r>
      <w:r>
        <w:rPr>
          <w:rFonts w:ascii="Times New Roman" w:hAnsi="Times New Roman"/>
          <w:i/>
          <w:sz w:val="20"/>
        </w:rPr>
        <w:t>société anonyme</w:t>
      </w:r>
      <w:r>
        <w:rPr>
          <w:rFonts w:ascii="Times New Roman" w:hAnsi="Times New Roman"/>
          <w:sz w:val="20"/>
        </w:rPr>
        <w:t xml:space="preserv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United States depositaries, which in turn will hold such interests in customers’ securities accounts in the United States depositaries’ names on the books of DTC.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concerning DTC, Clearstream and Euroclear and the book-entry system and procedures from sources that we believe to be reliable, but we take no responsibility for the accuracy of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participants include securities brokers and dealers, banks, trust companies, clearing corporations and other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LLC and the Financial Industry Regulatory Authority,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the DTC system is also available to others such as securities brokers and dealers, banks and trust companies that clear through or maintain a custodial relationship with a direct participant, either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applicable to DTC and its direct and indirect participants are on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understand that Clearstream is incorporated under the laws of Luxembourg as a professional depositary. Clearstream holds securities for its customers and facilitates the clearance and settlement of securities transactions between its customers through electronic book-entry changes in accounts of its customers,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the Euroclear Operator is licensed by the Belgian Banking and Finance Commission to carry out banking activities on a global basis. As a Belgian bank, it is regulated and examined by the Belgian Banking and Finance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with DTC or its custodian, DTC will credit on its internal system the accounts of direct participants designated by the underwriters with portions of the principal amounts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Trustee will have any responsibility or liability for any aspect of the records relating to or payments made on account of notes by DTC, Clearstream or Euroclear, or for maintaining, supervising or reviewing any records of those organizations relating to the notes. </w:t>
      </w:r>
    </w:p>
    <w:p>
      <w:pPr>
        <w:pStyle w:val="TextBody"/>
        <w:bidi w:val="0"/>
        <w:spacing w:before="240" w:after="0"/>
        <w:jc w:val="left"/>
        <w:rPr>
          <w:rFonts w:ascii="Times New Roman" w:hAnsi="Times New Roman"/>
          <w:sz w:val="20"/>
        </w:rPr>
      </w:pPr>
      <w:r>
        <w:rPr>
          <w:rFonts w:ascii="Times New Roman" w:hAnsi="Times New Roman"/>
          <w:sz w:val="20"/>
        </w:rPr>
        <w:t xml:space="preserve">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notes held beneficially through Clearstream will be credited to cash accounts of its customers in accordance with its rules and procedures, to the extent received by the United States depositary for Clearstream. </w:t>
      </w:r>
    </w:p>
    <w:p>
      <w:pPr>
        <w:pStyle w:val="TextBody"/>
        <w:bidi w:val="0"/>
        <w:spacing w:before="240" w:after="0"/>
        <w:jc w:val="left"/>
        <w:rPr>
          <w:rFonts w:ascii="Times New Roman" w:hAnsi="Times New Roman"/>
          <w:sz w:val="20"/>
        </w:rPr>
      </w:pPr>
      <w:r>
        <w:rPr>
          <w:rFonts w:ascii="Times New Roman" w:hAnsi="Times New Roman"/>
          <w:sz w:val="20"/>
        </w:rPr>
        <w:t>Securities clearance accounts and cash accounts with the Euroclear Operator are governed by the Terms and Conditions Governing Use of Euroclear and the related Operating Procedures of the Euroclear System, and applicable Belgian law (collectively, the “</w:t>
      </w:r>
      <w:r>
        <w:rPr>
          <w:rFonts w:ascii="Times New Roman" w:hAnsi="Times New Roman"/>
          <w:i/>
          <w:sz w:val="20"/>
        </w:rPr>
        <w:t>Terms and Conditions</w:t>
      </w:r>
      <w:r>
        <w:rPr>
          <w:rFonts w:ascii="Times New Roman" w:hAnsi="Times New Roman"/>
          <w:sz w:val="20"/>
        </w:rPr>
        <w:t xml:space="preserve">”).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notes held beneficially through Euroclear will be credited to the cash accounts of its participants in accordance with the Terms and Conditions, to the extent received by the United States depositary for Euroclear.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customers or Euroclear participants, on the other, will be effected through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DTC rules on behalf of the relevant European international clearing system by the United States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United States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United States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certificated notes to each person that DTC identifies as the beneficial owner of the notes represented by a global note upon surrender by DTC of the global note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under the Indenture has occurred and is continuing, and DTC requests the issuance of certificated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not to have the notes represented by a global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46611_8"/>
      <w:bookmarkEnd w:id="10"/>
      <w:r>
        <w:rPr>
          <w:rFonts w:ascii="Times New Roman" w:hAnsi="Times New Roman"/>
          <w:b/>
          <w:sz w:val="20"/>
        </w:rPr>
        <w:t xml:space="preserve">CERTAIN ERISA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certain considerations associated with the purchase of the notes by employee benefit plans (as defined in Section 3(3) of the U.S. Employee Retirement Income Security Act of 1974, as amended (“ERISA”)) that are subject to Title I of ERISA, plans, individual retirement accounts and other arrangements that are subject to Section 4975 of the Internal Revenue Code of 1986, as amended (the “Code”), or provisions under any other federal, state, local, non-U.S. or other laws or regulations that are similar to such provisions of the Code or ERISA (collectively, “Similar Laws”), and entities whose underlying assets are considered to include “plan assets” of any such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(each, an “ERISA Plan”) and prohibit certain transactions involving the assets of an ERISA Plan and its fiduciaries or other interested parties. Under ERISA and the Code, any person who exercises any discretionary authority or discretionary control over the management of such an ERISA Plan or the management or disposition of the assets of such an ERISA Plan, or who renders investment advice for a fee or other compensation to such an ERISA Plan, is generally considered to be a fiduciary of the ERISA Plan.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an investment in the notes of a portion of the assets of any Plan, a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ERISA Plans from engaging in specified transactions involving plan assets, including a loan or extension of credit,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the issuer or the underwriters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provide exemptive relief for direct or indirect prohibited transactions resulting from the sale, acquisition and holding of the notes. These class exemptions include, without limitation, PTCE 84-14 respecting transactions effected by independent qualified professional asset managers, PTCE 90-1 respecting insurance company pooled separate accounts, PTCE 91-38 respecting bank collective investment funds, PTCE 95-60 respecting insurance company general accounts and PTCE 96-23 respecting transactions effected by in-house asset managers. In addition, Section 408(b)(17) of ERISA and Section 4975(d)(20) of the Code provide relief from the prohibited transaction provisions of ERISA and Section 4975 of the Code for certain transactions, provided that neither the party in interest or disqualified person nor any of its affiliates (directly or indirectly) has or exercises any discretionary authority or control or renders any investment advice with respect to the assets of any ERISA Plan involved in the transaction and provided further that the ERISA Plan receives no less, and pays no more, than adequate consideration in connection with the transaction. Any purchaser that is an ERISA Plan is encouraged to consult with counsel regarding the application of any exemptions. There can be no assurance that any of these exemptions, or any other administrative or statutory exemption, will be available with respect to any particular transaction involving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or that all or any of the conditions of any such exemptions or of any other exemption will be satisfied with respect to any particular transaction involving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should not be purchased or held by any person investing “plan assets” of any Plan, unless such purchase and holding will not constitute or result in a non-exempt prohibited transaction under ERISA or the Code or a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 note, each purchaser and subsequent transferee of a note will be deemed to have represented and warranted that either (i) no portion of the assets used by such purchaser or transferee to acquire or hold the note constitutes assets of any Plan or (ii) the acquisition and holding of the note by such purchaser or transferee will not constitute or result in a non-exempt prohibited transaction under Section 406 of ERISA or Section 4975 of the Code or a similar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purchaser or subsequent transferee of the notes is using assets of any Plan to acquire or hold the notes, such purchaser and subsequent transferee will be deemed to represent that none of us, the underwriters, and any of our or their respective affiliates has acted as the Plan’s fiduciary, or has been relied upon for any advice, with respect to the purchaser or transferee’s decision to acquire, hold, sell, exchange, vote or provide any consent with respect to the notes and none of us, the underwriters, and any of our or their respective affiliates shall at any time be relied upon as the Plan’s fiduciary with respect to any decision to acquire, continue to hold, sell, exchange, vote or provide any consent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and should not be construed as legal advice or a legal opinion. Further, no assurance can be given that future legislation, administrative rulings, court decisions or regulatory action will not modify the conclusions set forth in this discussion. Any such changes may be retroactive and thereby apply to transactions entered into prior to the date of their enactment or release. Due to the complexity of these rules and the penalties that may be imposed upon persons involved in non-exempt prohibited transactions, it is particularly important that fiduciaries, or other persons considering purchasing (and/or holding)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46611_9"/>
      <w:bookmarkEnd w:id="11"/>
      <w:r>
        <w:rPr>
          <w:rFonts w:ascii="Times New Roman" w:hAnsi="Times New Roman"/>
          <w:b/>
          <w:sz w:val="20"/>
        </w:rPr>
        <w:t xml:space="preserve">CERTAIN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of the United States federal income tax considerations of the purchase, ownership and disposition of the notes. This summary: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based on the Code, United States Treasury regulations issued under the Code, judicial decisions and administrative pronouncements, all as in effect as of the date hereof, any of which are subject to different interpretation and to change. Any such change may be applied retroactively and may adversely affect the United States federal income tax considerations described in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addresses only tax considerations to investors that purchase the notes upon their original issuance for cash at their “issue price” within the meaning of Section 1273 of the Code (i.e., the first price at which a substantial amount of the notes is sold for cash to the public, not including bond houses, brokers, or similar persons or organizations acting in the capacity of underwriters, placement agents, or wholesalers) and hold the notes as capital assets within the meaning of Section 1221 of the Code (that is, generally, for investment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all of the tax considerations that may be relevant to particular investors in light of their particular circumstances (such as the application of any alternative minimum tax or the Medicare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all of the tax considerations that may be relevant to investors that are subject to special treatment under the United States federal income tax laws (such as insurance companies, banks or other financial institutions, tax-exempt organizations, individual retirement accounts or other tax-deferred accounts or retirement plans, regulated investment companies, real estate investment trusts, brokers or dealers in securities or currencies, U.S. Holders (as defined below) the functional currency of which for United States federal income tax purposes is not the United States dollar, holders holding the notes as part of a hedge, straddle, constructive sale, conversion or other integrated transaction, certain former United States citizens or residents subject to taxation as expatriates under Section 877A of the Code, persons subject to the 3.8% Medicare contribution tax on net investment income, persons that use the accrual method of accounting that are required to include certain amounts in income no later than the time such amounts are reflected on certain financial statements, traders in securities that have elected to use a mark-to-market method of accounting for their securities holdings, “controlled foreign corporations” or “passive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address prospective purchasers who are holders of the 2026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the effect of other United States federal tax laws (such as estate and gift tax laws) and does not discuss any state, local or non-United States tax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the tax considerations to a person holding notes through a partnership (or other entity or arrangement classified as a partnership for United States federal income tax purposes), except to the limited extent specifically indicated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classified as a partnership for United States federal income tax purposes) holds the notes, the tax treatment of a partner in the partnership generally will depend on the status of the partner and the activities of the partnership. If you are a partnership (or other entity or arrangement classified as a partnership for United States federal income tax purposes) or a partner in or owner of such a partnership holding notes, you should consult your tax advisor regarding the tax considerations of the purchase, ownership or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consult your own tax advisor with regard to the application of the tax considerations discussed below to your particular situation and the application of any other United States federal as well as state, local or non-United States tax laws, including gift and estate tax laws, and tax treaties. </w:t>
      </w:r>
    </w:p>
    <w:p>
      <w:pPr>
        <w:pStyle w:val="TextBody"/>
        <w:bidi w:val="0"/>
        <w:spacing w:before="120" w:after="0"/>
        <w:jc w:val="left"/>
        <w:rPr>
          <w:rFonts w:ascii="Times New Roman" w:hAnsi="Times New Roman"/>
          <w:b/>
          <w:sz w:val="20"/>
        </w:rPr>
      </w:pPr>
      <w:r>
        <w:rPr>
          <w:rFonts w:ascii="Times New Roman" w:hAnsi="Times New Roman"/>
          <w:b/>
          <w:sz w:val="20"/>
        </w:rPr>
        <w:t xml:space="preserve">Certain United States Federal Income Tax Considerations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considerations of the purchase, ownership and disposition of the notes by a holder that is a “U.S. Holder.” For purposes of this summary, a “U.S. Holder” means a beneficial owner of a note or notes that is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who meets the “substantial presence” test under Section 7701(b)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United States federal income tax purposes) created or organized in or under the laws of the United States (or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its administration and one or more United States persons (within the meaning of the Code) have the authority to control all of its substantial decisions, or (ii) such trust has a valid election in effect under applicable United States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Redemptions and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We may in certain circumstances pay additional amounts and/or redeem the notes prior to their stated maturity, including as described under “Description of Notes—Optional Redemption” and “Description of Notes—Change of Control Triggering Event.” We believe that the notes should not be treated as contingent payment debt instruments for United States federal income tax purposes because of the possibility of such payments or redemptions. This position is based in part on assumptions regarding the likelihood, as of the date of issuance of the notes, of such payments or redemptions. Our position is binding on a U.S. Holder unless such holder discloses its contrary position in the manner required by applicable United States Treasury regulations. However, the Internal Revenue Service (“IRS”) could challenge this position, and if such challenge were successful, a U.S. Holder might be required to accrue income on its notes in excess of stated interest, and to treat as ordinary income rather than capital gain any income realized on the taxable disposition of a note. The remainder of this discussion assumes the notes are not treated as contingent payment debt instruments. In the event a contingent payment actually occurs, it would affect the amount, timing and character of the income recognized by a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the notes will be taxable to a U.S. Holder as ordinary income as the interest is received or accrues in accordance with the U.S. Holder’s method of tax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Effect of Certain Alterations to the Notes or Transactions Including Consolidations, Mergers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We may make certain alterations to the notes or engage in certain transactions, including, without limitation, consolidations, mergers or the transfer of all or substantially all of our assets, as described under “Description of Debt Securities—Consolidation, Merger or Sales of Assets” in the accompanying prospectus. Depending on the circumstances, an addition of any obligor on the notes or a change in the obligor of the notes as a result of such alteration or transaction could result in a deemed exchange of the notes in which any modified note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 would be treated as newly issued at that time in exchange for the original note, potentially resulting in the recognition of a taxable gain or loss. In addition, if the principal amount of a deemed “new” note exceeds the issue price of the deemed “new” note by more than a statutory de minimis amount, the deemed “new” note would be treated as issued with original issue discount for United States federal income tax purposes, which a U.S. Holder generally will be required to accrue (as ordinary income) over the term of the deemed “new” note. We may be required to report certain information regarding such a transaction that may be relevant to U.S. Holders including by (1) filing IRS Form 8937 with the IRS and providing copies to certain of our holders or (2) posting such information on our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or other taxable disposition (each, a “disposition”) of a note, a U.S. Holder generally will recognize gain or loss equal to the difference between the amount received on such disposition (other than amounts received in respect of accrued but unpaid interest, which will generally be taxable to that U.S. Holder as ordinary interest income at that time if not previously included in the U.S. Holder’s income) and the U.S. Holder’s adjusted tax basis in the note. A U.S. Holder’s adjusted tax basis in a note will be, in general, the cost of the note to the U.S. Holder decreased by any payments received by the U.S. Holder on the note other than payments of stated interest. Gain or loss recognized on the disposition of a note generally will be capital gain or loss to the U.S. Holder. Such gain or loss will be long-term capital gain or loss if, at the time of such disposition, the note has been held for more than one year and otherwise generally will be short-term capital gain or loss. Long-term capital gain recognized by a non-corporate U.S. Holder generally is eligible for reduced rates of United States federal income taxation. The deductibility of capital losses is subject to significant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United States Federal Income Tax Considerations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considerations of the purchase, ownership and disposition of the notes by a holder that is a “Non-U.S. Holder.” For purposes of this summary, a “Non-U.S. Holder” means a beneficial owner of a note or notes that is an individual, corporation, estate or trust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Special rules may apply to Non-U.S. Holders that are subject to special treatment under the Code, including “controlled foreign corporations” and “passive foreign investment companies,” or under tax treaties to which the United States is a party. Such Non-U.S. Holders should consult their own tax advisors to determine the United States federal, state, local and other tax considerations that may be relevant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concerning backup withholding and FATCA (as defined below), a Non-U.S. Holder will not be subject to United States federal income or withholding tax in respect of interest income on a note if the interest income qualifies for the “portfolio interest exception.” Interest income on a note will qualify for the “portfolio interest exception” if each of the following requirements is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income is not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appropriately certifies its status as a non-United States person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own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(within the meaning of the Code) that is actually or constructively related to us through stock ownership;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that acquired the notes in consideration for an extension of credit made pursuant to a loan agreement entered into in the ordinary course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certification requirement referred to above generally will be satisfied if the Non-U.S. Holder provides the applicable withholding agent with a statement on IRS Form W-8BEN or W-8BEN-E, as applicable (or a suitable substitute or successor form), together with all appropriate attachments, signed under penalties of perjury, identifying the Non-U.S. Holder and stating, among other things, that the Non-U.S. Holder is not a United States person (within the meaning of the Code). If the Non-U.S. Holder holds its notes through a financial institution or other agent acting on the holder’s behalf, the Non-U.S. Holder will generally be required to provide appropriate documentation to that agent, and that agent will then generally be required to provide appropriate documentation to the applicable withholding agent (either directly or through other intermediaries). For payments made to non-U.S. partnerships and certain other pass-through entities, the certification requirement will generally apply to the partners or other interest holders in addition to the partnership or other pass-through entity. Prospective Non-U.S. Holders should consult their tax advisors regarding this certification requirement, and alternative methods for satisfying the certification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exception” are not satisfied with respect to a Non-U.S. Holder, payments of interest to that Non-U.S. Holder will be subject to a 30% United States withholding tax, unless another exemption or a reduced withholding rate applies. For example, if a Non-U.S. Holder qualifies for the benefits of an applicable income tax treaty, such treaty may reduce or eliminate such tax, in which event a Non-U.S. Holder claiming the benefit of such treaty must provide the withholding agent with a properly executed IRS Form W-8BEN or W-8BEN-E, as applicable (or a suitable substitute or successor form), establishing the benefit of the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an exemption to the 30% United States withholding tax applies if the interest is effectively connected with the Non-U.S. Holder’s conduct of a trade or business in the United States and the Non-U.S. Holder provides an appropriate statement to that effect on a properly executed IRS Form W-8ECI (or a suitable substitute or successor form). In such case, the Non-U.S. Holder generally will be subject to United States federal income tax with respect to such interest in the same manner as if it were a U.S. Holder, as described above, unless an applicable income tax treaty provides otherwise. In addition, such a Non-U.S. Holder that is a corporation may be subject to a branch profits tax with respect to such interest at a rate of 30% (or at a reduced rate under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concerning backup withholding, a Non-U.S. Holder generally will not be subject to United States federal income tax on gain realized upon the taxable disposition of a note (other than any amount representing accrued but unpaid interest on the note, which is subject to the rules described above)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present in the United States for 183 days or more in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income tax treaty applies, is attributable to a permanent establishment or fixed base maintained by the Non-U.S. Holder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above applies, the Non-U.S. Holder generally will be subject to United States federal income tax at a rate of 30% (or at a reduced rate under an applicable income tax treaty) on the amount by which capital gains allocable to United States sources (including gains from the taxable disposition of the note) exceed capital losses allocable to United States sources. If the second exception above applies, the Non-U.S. Holder generally will be subject to United States federal income tax with respect to such gain in the same manner as if it were a U.S. Holder, as described above, unless an applicable income tax treaty provides otherwise. Additionally,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that are corporations could be subject to a branch profits tax with respect to such gain at a rate of 30% (or at a reduced rate under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Effect of Certain Alterations to the Notes or Transactions Including Consolidations, Mergers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“—Certain United States Federal Income Tax Considerations to U.S. Holders—Possible Effect of Certain Alterations to the Notes or Transactions Including Consolidations, Mergers or Asset Sales,” we may make certain alterations to the notes or engage in certain transactions that could result in a deemed taxable exchange of the notes. Any gain recognized by a Non-U.S. Holder upon such a deemed exchange would generally be treated in the manner described above under “—Treatment of Taxable Dispositions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United States Information Reporting Requirements, Backup Withholding and FATCA </w:t>
      </w:r>
    </w:p>
    <w:p>
      <w:pPr>
        <w:pStyle w:val="TextBody"/>
        <w:bidi w:val="0"/>
        <w:spacing w:before="12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with respect to payments of principal and interest and proceeds from a disposition of the notes, unless a U.S. Holder is an exempt recipient (such as a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may be subject to backup withholding at the then-applicable rate on those payments if the U.S. Holder does not provide its taxpayer identification number in the manner required, fails to certify that it is not subject to backup withholding, fails to properly report in full its dividend and interest income, or otherwise fails to comply with the applicable requirements of the backup withholding rules. Some non-individual holders, including corporations, tax-exempt organizations and individual retirement accounts, are normally exempt from these requirements. Backup withholding is not an additional tax. Any amounts withheld under the backup withholding rules may be allowed as a credit against the U.S. Holder’s United States federal income tax liability (or be refunded) provided the required information is timely furnished to the IRS. Prospective U.S. Holders should consult their tax advisors concerning the application of information reporting and backup withholding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United States rules concerning information reporting and backup withholding applicable to Non-U.S. Holders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to a Non-U.S. Holder will be exempt from the usual information reporting and backup withholding rules if the Non-U.S. Holder satisfies the certification requirements described under “—Certain United States Federal Income Tax Considerations to Non-U.S. Holders—Treatment of Interest” above. The exemption does not apply if the withholding agent or an intermediary knows or has reason to know that the holder should be subject to the usual information reporting and backup withholding rules. In addition, information reporting (on Form 1042-S) may still apply to payments of interest even if certification is provided and the interest is exempt from the 30% withholding tax;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proceeds received by a Non-U.S. Holder on a sale of notes through a broker may be subject to information reporting and/or backup withholding if the Non-U.S. Holder is not eligible for an exemption and does not provide the certification described under “—Certain United States Federal Income Tax Considerations to Non-U.S. Holders—Treatment of Interest” above. In particular, information reporting and backup withholding may apply if the sale is made through the United States office of a broker, and information reporting (but generally not backup withholding) may apply if the sale is made through the non-United States office of a broker that has certain connections to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credit against the Non-U.S. Holder’s United States federal income tax liability (or be 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the required information is timely furnished to the IRS. Prospective Non-U.S. Holders should consult their tax advisors concerning the application of information reporting and backup withholding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Sections 1471 through 1474 of the Code (commonly referred to as “FATCA”), United States Treasury regulations thereunder, and administrative guidance, issuers of certain indebtedness and equity instruments and their agents, as applicable, are generally required to withhold 30% of any interest or dividends with respect to such instruments, paid to (i) a “foreign financial institution” (as specifically defined under the Code and whether such foreign financial institution is the beneficial owner or an intermediary) unless such institution enters into an agreement with the U.S. government to collect and report to the U.S. government, on an annual basis, information with respect to its U.S. accountholders and meets certain other specified requirements (or, in certain circumstances, complies with similar reporting requirements of the non-U.S. government in the jurisdiction in which it is organized or located under an intergovernmental agreement between such non-U.S. government and the U.S. government) or (ii) a non-financial foreign entity (whether such non-financial foreign entity is the beneficial owner or an intermediary) unless such entity certifies that it does not have any “substantial United States owners” or provides certain information regarding the entity’s “substantial United States owners” and such entity meets certain other specified requirements. FATCA generally will apply to all withholdable payments without regard to whether the beneficial owner of the payment would otherwise be entitled to an exemption from imposition of withholding tax pursuant to an applicable tax treaty with the United States. While withholding under FATCA would also have applied to payments of gross proceeds from the sale or other disposition of the notes (including retirement or redemption), proposed United States Treasury regulations eliminate FATCA withholding on payments of gross proceeds entirely. Although these United States Treasury regulations are not final, they can be relied upon until final United States Treasury regulations are issued. An intergovernmental agreement between the United States and a Non-U.S. Holder’s jurisdiction may modify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regarding the possible implications of this legislation and whether it may be relevant to your acquisition,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FEDERAL INCOME TAX DISCUSSION SET FORTH ABOVE IS INCLUDED FOR GENERAL INFORMATION ONLY, IS NOT TAX ADVICE AND MAY NOT BE APPLICABLE DEPENDING UPON A HOLDER’S PARTICULAR SITUATION. HOLDERS SHOULD CONSULT THEIR TAX ADVISORS REGARDING THE TAX CONSIDERATIONS TO THEM OF THE PURCHASE, OWNERSHIP AND DISPOSITION OF THE NOTES, INCLUDING THE TAX CONSIDERATIONS UNDER UNITED STATES FEDERAL INCOME, STATE, LOCAL, NON-UNITED STATES AND OTHER TAX LAWS (AND ANY PROPOSED CHANGES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46611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the underwriting agreement among us and Citigroup Global Markets Inc., J.P. Morgan Securities LLC, PNC Capital Markets LLC and U.S. Bancorp Investments, Inc., as representatives of the underwriters named below, we have agreed to sell to each underwriter, and each underwriter has severally agreed to purchase from us, the respective principal amount of the notes that appears opposite its name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19"/>
        <w:gridCol w:w="453"/>
        <w:gridCol w:w="141"/>
        <w:gridCol w:w="1463"/>
        <w:gridCol w:w="63"/>
      </w:tblGrid>
      <w:tr>
        <w:trPr/>
        <w:tc>
          <w:tcPr>
            <w:tcW w:w="4819"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453"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w:t>
            </w:r>
          </w:p>
        </w:tc>
        <w:tc>
          <w:tcPr>
            <w:tcW w:w="63"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63" w:type="dxa"/>
            <w:tcBorders/>
            <w:shd w:fill="CCEEFF" w:val="clear"/>
            <w:vAlign w:val="bottom"/>
          </w:tcPr>
          <w:p>
            <w:pPr>
              <w:pStyle w:val="TableContents"/>
              <w:bidi w:val="0"/>
              <w:spacing w:before="0" w:after="283"/>
              <w:jc w:val="right"/>
              <w:rPr/>
            </w:pPr>
            <w:r>
              <w:rPr/>
              <w:t>63,000,000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56,000,000</w:t>
            </w:r>
          </w:p>
        </w:tc>
        <w:tc>
          <w:tcPr>
            <w:tcW w:w="63"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56,000,000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56,000,000</w:t>
            </w:r>
          </w:p>
        </w:tc>
        <w:tc>
          <w:tcPr>
            <w:tcW w:w="63"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29,750,000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tcPr>
          <w:p>
            <w:pPr>
              <w:pStyle w:val="TableContents"/>
              <w:bidi w:val="0"/>
              <w:spacing w:before="0" w:after="20"/>
              <w:jc w:val="left"/>
              <w:rPr>
                <w:rFonts w:ascii="Times New Roman" w:hAnsi="Times New Roman"/>
                <w:sz w:val="20"/>
              </w:rPr>
            </w:pPr>
            <w:r>
              <w:rPr>
                <w:rFonts w:ascii="Times New Roman" w:hAnsi="Times New Roman"/>
                <w:sz w:val="20"/>
              </w:rPr>
              <w:t>ING Financial Markets LLC</w:t>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29,750,000</w:t>
            </w:r>
          </w:p>
        </w:tc>
        <w:tc>
          <w:tcPr>
            <w:tcW w:w="63"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BBVA Securities Inc.</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10,500,000</w:t>
            </w:r>
          </w:p>
        </w:tc>
        <w:tc>
          <w:tcPr>
            <w:tcW w:w="63" w:type="dxa"/>
            <w:tcBorders/>
            <w:vAlign w:val="bottom"/>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10,500,000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10,500,000</w:t>
            </w:r>
          </w:p>
        </w:tc>
        <w:tc>
          <w:tcPr>
            <w:tcW w:w="63" w:type="dxa"/>
            <w:tcBorders/>
            <w:vAlign w:val="bottom"/>
          </w:tcPr>
          <w:p>
            <w:pPr>
              <w:pStyle w:val="TableContents"/>
              <w:bidi w:val="0"/>
              <w:spacing w:before="0" w:after="283"/>
              <w:jc w:val="left"/>
              <w:rPr/>
            </w:pPr>
            <w:r>
              <w:rPr/>
              <w:t> </w:t>
            </w:r>
          </w:p>
        </w:tc>
      </w:tr>
      <w:tr>
        <w:trPr/>
        <w:tc>
          <w:tcPr>
            <w:tcW w:w="4819"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63" w:type="dxa"/>
            <w:tcBorders/>
            <w:shd w:fill="CCEEFF" w:val="clear"/>
            <w:vAlign w:val="bottom"/>
          </w:tcPr>
          <w:p>
            <w:pPr>
              <w:pStyle w:val="TableContents"/>
              <w:bidi w:val="0"/>
              <w:spacing w:before="0" w:after="283"/>
              <w:jc w:val="right"/>
              <w:rPr/>
            </w:pPr>
            <w:r>
              <w:rPr/>
              <w:t>350,000,000</w:t>
            </w:r>
          </w:p>
        </w:tc>
        <w:tc>
          <w:tcPr>
            <w:tcW w:w="63" w:type="dxa"/>
            <w:tcBorders/>
            <w:shd w:fill="CCEEFF" w:val="clear"/>
            <w:vAlign w:val="bottom"/>
          </w:tcPr>
          <w:p>
            <w:pPr>
              <w:pStyle w:val="TableContents"/>
              <w:bidi w:val="0"/>
              <w:spacing w:before="0" w:after="283"/>
              <w:jc w:val="left"/>
              <w:rPr/>
            </w:pPr>
            <w:r>
              <w:rPr/>
              <w:t> </w:t>
            </w:r>
          </w:p>
        </w:tc>
      </w:tr>
      <w:tr>
        <w:trPr/>
        <w:tc>
          <w:tcPr>
            <w:tcW w:w="4819"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underwriters under the underwriting agreement, including their agreement to purchase notes from us, are several and not joint. The underwriters have agreed to purchase all of the notes if any of them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notes to the public at the public offering price that appears on the cover page of this prospectus supplement. The underwriters may offer the notes to selected dealers at the public offering price minus a concession of up to 0.200% of the principal amount of the notes. In addition, the underwriters may allow, and those selected dealers may reallow, a concession of up to 0.150% of the principal amount of the notes to certain other dealers. After the initial offering, the underwriters may change the public offering price and any other selling terms.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to be paid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4"/>
        <w:gridCol w:w="692"/>
        <w:gridCol w:w="109"/>
        <w:gridCol w:w="1037"/>
        <w:gridCol w:w="277"/>
      </w:tblGrid>
      <w:tr>
        <w:trPr/>
        <w:tc>
          <w:tcPr>
            <w:tcW w:w="4824"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824"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77" w:type="dxa"/>
            <w:tcBorders/>
            <w:vAlign w:val="bottom"/>
          </w:tcPr>
          <w:p>
            <w:pPr>
              <w:pStyle w:val="TableContents"/>
              <w:bidi w:val="0"/>
              <w:spacing w:before="0" w:after="283"/>
              <w:jc w:val="left"/>
              <w:rPr/>
            </w:pPr>
            <w:r>
              <w:rPr/>
              <w:t> </w:t>
            </w:r>
          </w:p>
        </w:tc>
      </w:tr>
      <w:tr>
        <w:trPr/>
        <w:tc>
          <w:tcPr>
            <w:tcW w:w="4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69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0.350</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underwriting agreement, we have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offer or sell any of our debt securities (other than the notes) from the date of this prospectus supplement through and including the date that is one business day after the closing date of the offering of the notes without the prior consent of Citigroup Global Markets Inc., J.P. Morgan Securities LLC, PNC Capital Markets LLC and U.S. Bancorp Investments,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our expenses related to the offering, which we estimate will be approximately $1.1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the underwriters against certain liabilities, including liabilities under the Securities Act of 1933, as amended, or contribute to payments that the underwriters may be required to make in respect of those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w:t>
      </w:r>
      <w:r>
        <w:rPr>
          <w:rFonts w:ascii="Times New Roman" w:hAnsi="Times New Roman"/>
          <w:sz w:val="20"/>
        </w:rPr>
        <w:t xml:space="preserve"> </w:t>
      </w:r>
      <w:r>
        <w:rPr>
          <w:rFonts w:ascii="Times New Roman" w:hAnsi="Times New Roman"/>
          <w:i/>
          <w:sz w:val="20"/>
        </w:rPr>
        <w:t>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 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the notes in the UK will be made pursuant to an exception from the prohibition on offers of notes to the public under the POATRs.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and any other material in relation to this offering are only being distributed to and are only directed at (i) persons who are outside the United Kingdom or (ii) persons who are “qualified investors” as defined in paragraph 15 of Schedule 1 to the POATRs who are also (a) investment professionals falling within Article 19(5) of the Financial Services and Markets Act 2000 (Financial Promotion) Order 2005 (as amended, the “Order”) or (b) high net worth entities and other persons to whom they may lawfully be communicated falling within Article 49(2)(a) to (d) of the Order (all such persons together being referred to as “relevant persons”). This offering is only being made to, and the notes are only available to, and any solicitation, invitation, offer or agreement to deliver the notes or subscribe, purchase or otherwise acquire the notes, as applicable, will be engaged in only with relevant persons. Any person who is not a relevant person should not act or rely 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approved by or registered with the Securities and Futures Commission of Hong Kong or the Registrar of Companies of Hong Kong. 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in the underwriters’ possession for the purposes of this offering or will be issued or in the underwriters’ possession for the purposes of this offering in Hong Kong or elsewhere other than with respect to the notes which are or are intended to be disposed of only to persons outside Hong Kong or only to “professional investors” as defined in the Securities and Futures Ordinance (Cap. 571) of Hong Kong and any rules made under that Ordinance.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offering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complies with all applicable Australian laws, regulations and directives (including, without limitation, the licensing requirements set out in Chapter 7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or invitation does not constitute an offer or invitation to a person in Australia who is a “retail client” as defined for the purposes of Section 761G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action does not require any document to be lodged with ASIC or the ASX.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 1 of 2012, as amended. This prospectus supplement is intended for distribution only to persons of a type specified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Dubai International Financial Centre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established trading market for the notes. We do not intend to apply for the notes to be listed on any securities exchange or to arrange for the notes to be quoted on any quotation system. Certain of the underwriters have advised us that they intend to make a market in the notes, but they are not obligated to do so. Such underwriters may discontinue any market making in the notes at any time in their sole discretion. Accordingly, we cannot assure you that a liquid trading market will develop for the notes,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may cause the price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and their affiliates have in the past provided, and may in the future provide, investment banking, commercial banking, derivative transactions and financial advisory services to us and our affiliates in the ordinary course of business. Specifically, JPMorgan Chase Bank, N.A. and J.P. Morgan SE, affiliates of J.P. Morgan Securities LLC, serve as the administrative agent under our multicurrency revolving credit facility and certain of the underwriters and/or their affiliates serve as agents and/or lenders under our multicurrency revolving credit facility. In addition, U.S. Bancorp Investments, Inc. is an affiliate of an entity that serves as the trustee under the indenture governing the notes. Certain of the underwriters and/or their respective affiliates may hold a portion of our 2026 Notes or commercial paper or are lenders under our multicurrency revolving credit facility and, as a result, may receive a portion of the net proceeds from this offering. See “Use of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Delivery of the notes is expected to be made against payment for the notes on August 21, 2026, which will be the seventh business day following the date hereof (this settlement cycle being referred to as “T+7”). Under Rule 15c6-1 of the Securities Exchange Act of 1934, as amended (the “Exchange Act”), trades in the secondary market generally are required to settle in one business day, unless the parties to any such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expressly agree otherwise. Accordingly, purchasers who wish to trade the notes on any date prior to the business day before delivery will be required, by virtue of the fact that the notes initially will settle in T+7, to specify alternate settlement arrangements at the time of any such trade to prevent a failed settlement. Purchasers of the notes who wish to trade the notes on any date prior to the business day before delivery should consult their own advisers.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46611_11"/>
      <w:bookmarkEnd w:id="13"/>
      <w:r>
        <w:rPr>
          <w:rFonts w:ascii="Times New Roman" w:hAnsi="Times New Roman"/>
          <w:b/>
          <w:sz w:val="20"/>
        </w:rPr>
        <w:t xml:space="preserve">VALIDITY OF NOTES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hereby will be passed upon for us by Ropes &amp; Gray LLP, Boston, Massachusetts. The validity of the notes offered hereby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4" w:name="supptx14661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auditing and accounting. </w:t>
      </w:r>
    </w:p>
    <w:p>
      <w:pPr>
        <w:pStyle w:val="TextBody"/>
        <w:bidi w:val="0"/>
        <w:spacing w:before="480" w:after="0"/>
        <w:jc w:val="center"/>
        <w:rPr>
          <w:rFonts w:ascii="Times New Roman" w:hAnsi="Times New Roman"/>
          <w:b/>
          <w:sz w:val="20"/>
        </w:rPr>
      </w:pPr>
      <w:bookmarkStart w:id="15" w:name="supptx14661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Cabot is subject to the informational requirements of the Exchange Act, and in accordance therewith files annual, quarterly and current reports, proxy statements and other information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Cabot files information electronically with the Commission, and the Commission maintains a website that contains reports, proxy and information statements and other information regarding registrants (including the Company) that file electronically with the Commission. The address of the Commission’s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an automatically effective registration statement on Form S-3 filed by us with the Commission. This prospectus supplement and the accompanying prospectus do not contain all of the information set forth in the registration statement and the exhibits thereto, certain parts of which are omitted in accordance with the rules and regulations of the Commission. Statements contained in this prospectus supplement, the accompanying prospectus or the documents incorporated by reference herein and therein as to the contents of any document referred to are not necessarily complete, and in each instance reference is made to the copy of such document filed with the Commission,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46611_14"/>
      <w:bookmarkEnd w:id="16"/>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rules allow us to “incorporate by reference” the information we have filed with the Commission, which means that we can disclose important information by referring you to those documents. The following documents previously filed by Cabot with the Commission pursuant to the Exchange Act and any future filings made by Cabot pursuant to Section 13(a), 13(c), 14 or 15(d) of the Exchange Act subsequent to the date of this prospectus supplement and prior to the time that we sell all of the notes offered by this prospectus supplement are incorporated by reference in this prospectus supplement (excluding those portions of any Form 8-K that are deemed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September 30, 2025 filed on November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Quarterly Reports on Form 10-Q for the fiscal quarters ended December 31, 2025, March 31, 2026 and June 30, 2026 filed on </w:t>
            </w:r>
            <w:hyperlink r:id="rId4">
              <w:r>
                <w:rPr>
                  <w:rStyle w:val="InternetLink"/>
                  <w:rFonts w:ascii="Times New Roman" w:hAnsi="Times New Roman"/>
                  <w:sz w:val="20"/>
                </w:rPr>
                <w:t>February  4, 2026</w:t>
              </w:r>
            </w:hyperlink>
            <w:r>
              <w:rPr>
                <w:rFonts w:ascii="Times New Roman" w:hAnsi="Times New Roman"/>
                <w:sz w:val="20"/>
              </w:rPr>
              <w:t xml:space="preserve">, </w:t>
            </w:r>
            <w:hyperlink r:id="rId5">
              <w:r>
                <w:rPr>
                  <w:rStyle w:val="InternetLink"/>
                  <w:rFonts w:ascii="Times New Roman" w:hAnsi="Times New Roman"/>
                  <w:sz w:val="20"/>
                </w:rPr>
                <w:t>May  6, 2026</w:t>
              </w:r>
            </w:hyperlink>
            <w:r>
              <w:rPr>
                <w:rFonts w:ascii="Times New Roman" w:hAnsi="Times New Roman"/>
                <w:sz w:val="20"/>
              </w:rPr>
              <w:t xml:space="preserve"> and </w:t>
            </w:r>
            <w:hyperlink r:id="rId6">
              <w:r>
                <w:rPr>
                  <w:rStyle w:val="InternetLink"/>
                  <w:rFonts w:ascii="Times New Roman" w:hAnsi="Times New Roman"/>
                  <w:sz w:val="20"/>
                </w:rPr>
                <w:t>August 4,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Cabot’s Annual Report on Form 10-K for the fiscal year ended September  30, 2025 from Cabot’s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on January 27,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Current Reports on Form 8-K filed on </w:t>
            </w:r>
            <w:hyperlink r:id="rId8">
              <w:r>
                <w:rPr>
                  <w:rStyle w:val="InternetLink"/>
                  <w:rFonts w:ascii="Times New Roman" w:hAnsi="Times New Roman"/>
                  <w:sz w:val="20"/>
                </w:rPr>
                <w:t>January 14, 2026</w:t>
              </w:r>
            </w:hyperlink>
            <w:r>
              <w:rPr>
                <w:rFonts w:ascii="Times New Roman" w:hAnsi="Times New Roman"/>
                <w:sz w:val="20"/>
              </w:rPr>
              <w:t xml:space="preserve">, </w:t>
            </w:r>
            <w:hyperlink r:id="rId9">
              <w:r>
                <w:rPr>
                  <w:rStyle w:val="InternetLink"/>
                  <w:rFonts w:ascii="Times New Roman" w:hAnsi="Times New Roman"/>
                  <w:sz w:val="20"/>
                </w:rPr>
                <w:t>March  17, 2026</w:t>
              </w:r>
            </w:hyperlink>
            <w:r>
              <w:rPr>
                <w:rFonts w:ascii="Times New Roman" w:hAnsi="Times New Roman"/>
                <w:sz w:val="20"/>
              </w:rPr>
              <w:t xml:space="preserve">, </w:t>
            </w:r>
            <w:hyperlink r:id="rId10">
              <w:r>
                <w:rPr>
                  <w:rStyle w:val="InternetLink"/>
                  <w:rFonts w:ascii="Times New Roman" w:hAnsi="Times New Roman"/>
                  <w:sz w:val="20"/>
                </w:rPr>
                <w:t>May  14, 2026</w:t>
              </w:r>
            </w:hyperlink>
            <w:r>
              <w:rPr>
                <w:rFonts w:ascii="Times New Roman" w:hAnsi="Times New Roman"/>
                <w:sz w:val="20"/>
              </w:rPr>
              <w:t xml:space="preserve"> and </w:t>
            </w:r>
            <w:hyperlink r:id="rId11">
              <w:r>
                <w:rPr>
                  <w:rStyle w:val="InternetLink"/>
                  <w:rFonts w:ascii="Times New Roman" w:hAnsi="Times New Roman"/>
                  <w:sz w:val="20"/>
                </w:rPr>
                <w:t>July 30,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herein by reference shall be deemed to be modified or superseded for purposes of this prospectus supplement to the extent that a statement contained herein or in any subsequently filed document that is incorporated by reference herein modifies or supersedes such statement. Any such statement so modified or superseded shall not be deemed to constitute a part of this prospectus supplement,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ANY PERSON RECEIVING A COPY OF THIS PROSPECTUS SUPPLEMENT MAY OBTAIN, WITHOUT CHARGE, UPON WRITTEN OR ORAL REQUEST, A COPY OF ANY OF THE DOCUMENTS INCORPORATED BY REFERENCE IN THIS PROSPECTUS SUPPLEMENT OR THE ACCOMPANYING PROSPECTUS. WRITTEN REQUESTS SHOULD BE MAILED TO JANE A. BELL, CORPORATE SECRETARY AND CHIEF COUNSEL—SECURITIES AND GOVERNANCE, CABOT CORPORATION, TWO SEAPORT LANE, SUITE 1400, BOSTON, MASSACHUSETTS 02210. TELEPHONE REQUESTS MAY BE DIRECTED TO MS. BELL AT (617) 345-0100.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without charge, at the Investor section of Cabot’s website at www.cabotcorp.com. The contents on, or accessible through, Cabot’s website have not been, and shall not be deemed to be,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8695" cy="6057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Cabot Corporation (“Cabot” and, together with its consolidated subsidiaries, the “Company”) may offer from time to time any combination the following securities: (i) shares of the Company’s common stock, $1.00 par value per share ( “Common Stock”), (ii) shares of the Company’s preferred stock, $1.00 par value per share (the “Preferred Stock”), (iii) senior and/or subordinated debt securities ( “Debt Securities”), (iii) warrants to purchase shares of Common Stock, shares of Preferred Stock and Debt Securities (the “Warrants”), and (iv) units consisting of any combination of Common Stock, Preferred Stock, Debt Securities or Warrants (the “Units” and, together with the Common Stock, the Preferred Stock, the Debt Securities and the Warrants, the “Securities”) in amounts, at prices and on other terms to be determined at the time of offering. The Securities may be offered in amounts, at prices and on terms to be set forth in one or more supplements to this Prospectus (each, a “Prospectus Supplement”). You should read carefully both this Prospectus, any Prospectus Supplement and any free writing prospectus relating to the specific issue of Securities, along with the additional information described under the headings “Where You Can Find More Information” and “Incorporation of Certain Documents by Reference”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directly, through agents designated from time to time by Cabot or to or through underwriters or dealers. If any agents, dealers or underwriters are involved in the sale of any of the Securities, their names, and any applicable purchase price, fee, commission or discount arrangement between or among them, will be set forth, or will be calculable from the information set forth, in an accompanying Prospectus Supplement and any related free writing prospectus. Except as otherwise permitted by law, no Securities may be sold pursuant to this Prospectus without delivery of a Prospectus Supplement describing the method and terms of the offering of such Securities.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contain information, where appropriate, about certain United States federal income tax considerations relating to, and any listing on a securities exchange of, the Securities covered by such Prospectus Supplement. Cabot’s common stock trades on The New York Stock Exchange under the symbol “CBT.”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Securities involves certain risks. Please carefully read the information under the heading “</w:t>
      </w:r>
      <w:hyperlink w:anchor="tx146611_2">
        <w:r>
          <w:rPr>
            <w:rStyle w:val="InternetLink"/>
            <w:rFonts w:ascii="Times New Roman" w:hAnsi="Times New Roman"/>
            <w:b/>
            <w:sz w:val="24"/>
          </w:rPr>
          <w:t>Risk Factors</w:t>
        </w:r>
      </w:hyperlink>
      <w:r>
        <w:rPr>
          <w:rFonts w:ascii="Times New Roman" w:hAnsi="Times New Roman"/>
          <w:b/>
          <w:sz w:val="24"/>
        </w:rPr>
        <w:t xml:space="preserve">” beginning on page 2 of this Prospectus before you invest in any Securities. Cabot may include additional risk factors in any Prospectus Supplement, any related free writing prospectus and/or any other future filings it makes with the Securities and Exchange Commission (the “Commission”) that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Company’s principal executive offices is Two Seaport Lane, Suite 1400, Boston, Massachusetts 02210 and the telephone number at the Company’s principal executive offices is (617) 345-0100.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15,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1"/>
        <w:gridCol w:w="169"/>
        <w:gridCol w:w="60"/>
        <w:gridCol w:w="263"/>
        <w:gridCol w:w="62"/>
      </w:tblGrid>
      <w:tr>
        <w:trPr/>
        <w:tc>
          <w:tcPr>
            <w:tcW w:w="965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0"/>
              <w:jc w:val="left"/>
              <w:rPr/>
            </w:pPr>
            <w:hyperlink w:anchor="tx146611_1">
              <w:r>
                <w:rPr>
                  <w:rStyle w:val="InternetLink"/>
                  <w:rFonts w:ascii="Times New Roman" w:hAnsi="Times New Roman"/>
                  <w:sz w:val="20"/>
                </w:rPr>
                <w:t>About This Prospectus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2">
              <w:r>
                <w:rPr>
                  <w:rStyle w:val="InternetLink"/>
                  <w:rFonts w:ascii="Times New Roman" w:hAnsi="Times New Roman"/>
                  <w:sz w:val="20"/>
                </w:rPr>
                <w:t>Risk Factors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3">
              <w:r>
                <w:rPr>
                  <w:rStyle w:val="InternetLink"/>
                  <w:rFonts w:ascii="Times New Roman" w:hAnsi="Times New Roman"/>
                  <w:sz w:val="20"/>
                </w:rPr>
                <w:t>Where You Can Find More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4">
              <w:r>
                <w:rPr>
                  <w:rStyle w:val="InternetLink"/>
                  <w:rFonts w:ascii="Times New Roman" w:hAnsi="Times New Roman"/>
                  <w:sz w:val="20"/>
                </w:rPr>
                <w:t>Incorporation of Certain Documents by Reference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5">
              <w:r>
                <w:rPr>
                  <w:rStyle w:val="InternetLink"/>
                  <w:rFonts w:ascii="Times New Roman" w:hAnsi="Times New Roman"/>
                  <w:sz w:val="20"/>
                </w:rPr>
                <w:t>Forward-looking Statements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6">
              <w:r>
                <w:rPr>
                  <w:rStyle w:val="InternetLink"/>
                  <w:rFonts w:ascii="Times New Roman" w:hAnsi="Times New Roman"/>
                  <w:sz w:val="20"/>
                </w:rPr>
                <w:t>The Company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7">
              <w:r>
                <w:rPr>
                  <w:rStyle w:val="InternetLink"/>
                  <w:rFonts w:ascii="Times New Roman" w:hAnsi="Times New Roman"/>
                  <w:sz w:val="20"/>
                </w:rPr>
                <w:t>Use of Proceeds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8">
              <w:r>
                <w:rPr>
                  <w:rStyle w:val="InternetLink"/>
                  <w:rFonts w:ascii="Times New Roman" w:hAnsi="Times New Roman"/>
                  <w:sz w:val="20"/>
                </w:rPr>
                <w:t>Description of Capital Stock</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9">
              <w:r>
                <w:rPr>
                  <w:rStyle w:val="InternetLink"/>
                  <w:rFonts w:ascii="Times New Roman" w:hAnsi="Times New Roman"/>
                  <w:sz w:val="20"/>
                </w:rPr>
                <w:t>Description of Debt Securities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0">
              <w:r>
                <w:rPr>
                  <w:rStyle w:val="InternetLink"/>
                  <w:rFonts w:ascii="Times New Roman" w:hAnsi="Times New Roman"/>
                  <w:sz w:val="20"/>
                </w:rPr>
                <w:t>Description of Warrants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1">
              <w:r>
                <w:rPr>
                  <w:rStyle w:val="InternetLink"/>
                  <w:rFonts w:ascii="Times New Roman" w:hAnsi="Times New Roman"/>
                  <w:sz w:val="20"/>
                </w:rPr>
                <w:t>Description of Units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2">
              <w:r>
                <w:rPr>
                  <w:rStyle w:val="InternetLink"/>
                  <w:rFonts w:ascii="Times New Roman" w:hAnsi="Times New Roman"/>
                  <w:sz w:val="20"/>
                </w:rPr>
                <w:t>Plan of Distribution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3">
              <w:r>
                <w:rPr>
                  <w:rStyle w:val="InternetLink"/>
                  <w:rFonts w:ascii="Times New Roman" w:hAnsi="Times New Roman"/>
                  <w:sz w:val="20"/>
                </w:rPr>
                <w:t>Legal Matters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4">
              <w:r>
                <w:rPr>
                  <w:rStyle w:val="InternetLink"/>
                  <w:rFonts w:ascii="Times New Roman" w:hAnsi="Times New Roman"/>
                  <w:sz w:val="20"/>
                </w:rPr>
                <w:t>Experts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4661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automatically effective registration statement on Form S-3 (“Registration Statement”) that Cabot filed with the Securities and Exchange Commission (the “Commission”) utilizing a “shelf” registration process. Under this shelf process, Cabot may sell the Securities described in this Prospectus in one or more offerings. This Prospectus provides you with a general description of the Securities Cabot may offer. Each time Cabot offers Securities using this Prospectus, it will provide a Prospectus Supplement that will contain the specific terms of those Securities and that offering for which this Prospectus is being delivered. The Prospectus Supplement may also add, update or change information contained or incorporated by reference in this Prospectus. You should read both this Prospectus and any applicable Prospectus Supplement, together with the additional information described under the headings “Where You Can Find More Information” and “Incorporation of Certain Documents by Reference”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The distribution of this Prospectus and the sale of Securities in certain jurisdictions may be restricted by law. Persons in possession of this Prospectus are required to inform themselves about and observe any such restrictions. We are not making an offer of these Securities in any jurisdiction where the offer or sale is not permitted. You should not assume that the information contained in or incorporated by reference in this Prospectus, in any accompanying Prospectus Supplement or in any free writing prospectus is accurate as of any date other than the respective dates thereof.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herein by reference as exhibits to the Registration Statement of which this Prospectus forms a part or filings incorporated by reference, and you may obtain copies of those documents as described below under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this Registration Statement, Cabot may offer, issue and sell the Securities as set forth on the cover page of this Prospectus. Because Cabot is a “well-known seasoned issuer,” as defined in Rule 405 under the Securities Act of 1933, as amended (the “Securities Act”), it may offer additional Securities by filing a Prospectus Supplement at the time of the offer. In addition, Cabot is able to register Debt Securities issued or to be issued by any of its subsidiaries if it guarantees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and “our” refer to Cabot Corporation, a corporation organized under the laws of Delaware,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46611_2"/>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any of the Securities involves certain risks. For a discussion of the factors you should carefully consider before deciding to purchase any of the Securities, see “Part I, Item 1A—Risk Factors” of Cabot’s Annual Report on Form 10-K for the fiscal year ended September 30, 2023, which is incorporated by reference in this Prospectus, and subsequent filings containing updated disclosures of such factors, together with all of the other information included in this Prospectus and in the “Risk Factors” section of any applicable Prospectus Supplement and the other information that Cabot has incorporated by reference. Before making an investment decision, you should carefully consider those risks as well as other information Cabot includes or incorporates by reference in this Prospectus, in any accompanying Prospectus Supplement and in any free writing prospectus. The risks and uncertainties Cabot has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Cabot’s Common Stock or other Securities could decline. To the extent a particular offering implicates additional known material risks, Cabot will include a discussion of those risks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46611_3"/>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Cabot is subject to the informational requirements of the Securities Exchange Act of 1934, as amended (the “Exchange Act”), and in accordance therewith files annual, quarterly and current reports, proxy statements and other information with the Commission. We make these documents publicly available, free of charge, on our website at www.cabotcorp.com as soon as reasonably practicable after filing such documents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Cabot files information electronically with the Commission, and the Commission maintains a website that contains reports, proxy and information statements and other information regarding registrants (including the Company) that file electronically with the Commission. The address of the Commission’s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Cabot has filed with the Commission an automatically effective Registration Statement on Form S-3 under the Securities Act, with respect to the Securities. This Prospectus, which constitutes a part of the Registration Statement, does not contain all of the information set forth in the Registration Statement and the exhibits thereto, certain parts of which are omitted in accordance with the rules and regulations of the Commission. The Registration Statement, including exhibits thereto, may be inspected and copied at the locations described above. Statements contained in this Prospectus as to the contents of any document referred to are not necessarily complete, and in each instance reference is made to the copy of such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46611_4"/>
      <w:bookmarkEnd w:id="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rules allow Cabot to “incorporate by reference” the information it has filed with the Commission, which means that it can disclose important information by referring you to those documents. The following documents previously filed by Cabot with the Commission pursuant to the Exchange Act and any future filings made by Cabot pursuant to Section 13(a), 13(c), 14 or 15(d) of the Exchange Act subsequent to the date of this Prospectus and prior to the termination of the offering of all Securities are incorporated by reference in this Prospectus (excluding those portions of any Form 8-K that are deemed furnished and not filed in accordance with Commission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3">
              <w:r>
                <w:rPr>
                  <w:rStyle w:val="InternetLink"/>
                  <w:rFonts w:ascii="Times New Roman" w:hAnsi="Times New Roman"/>
                  <w:sz w:val="20"/>
                </w:rPr>
                <w:t xml:space="preserve">Cabot’s Annual Report on Form 10-K for the fiscal year ended September 30, 2023;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4">
              <w:r>
                <w:rPr>
                  <w:rStyle w:val="InternetLink"/>
                  <w:rFonts w:ascii="Times New Roman" w:hAnsi="Times New Roman"/>
                  <w:sz w:val="20"/>
                </w:rPr>
                <w:t>the information in Cabot’s Definitive Proxy Statement on Schedule 14A filed on January 26, 2023, to the extent incorporated by reference in Cabot’s Annual Report on Form 10-K for the fiscal year ended September 30, 2022; and</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common stock contained in Cabot’s Registration Statement on Form 8-A filed on December 2, 1986, as amended, and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herein by reference shall be deemed to be modified or superseded for purposes of this Prospectus to the extent that a statement contained herein (or in an applicable Prospectus Supplement) or in any subsequently filed document that is incorporated by reference herein modifies or supersedes such statement. Any such statement so modified or superseded shall not be deemed to constitute a part of this Prospectus or any Prospectus Supplement,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ANY PERSON RECEIVING A COPY OF THIS PROSPECTUS MAY OBTAIN, WITHOUT CHARGE, UPON WRITTEN OR ORAL REQUEST, A COPY OF ANY OF THE DOCUMENTS INCORPORATED BY REFERENCE HEREIN. WRITTEN REQUESTS SHOULD BE MAILED TO JANE A. BELL, CORPORATE SECRETARY AND CHIEF COUNSEL-SECURITIES AND GOVERNANCE, CABOT CORPORATION, TWO SEAPORT LANE, SUITE 1400, BOSTON, MASSACHUSETTS 02210. TELEPHONE REQUESTS MAY BE DIRECTED TO MS. BELL AT (617) 345-0100.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without charge, at the Investor section of Cabot’s website at www.cabotcorp.com. The contents on, or accessible through, Cabot’s website have not been, and shall not be deemed to be,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46611_5"/>
      <w:bookmarkEnd w:id="22"/>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any related Prospectus Supplement and the documents incorporated herein and therein by reference, may contain “forward-looking statements” under the federal securities laws. These forward-looking statements include information concerning our possible or assumed future results of operations, business strategies, financing plans, competitive position, potential growth opportunities, potential operating performance improvements, the effects of competition and the effects of future legislation or regulations. Generally, the words “believe,” “expect,” “plan,” “intend,” “anticipate,” “estimate,” “predict,” “potential,” “continue,” “may,” “should” or the negative of these terms or similar expressions that do not relate to historical facts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past results and from those expressed in the forward-looking statements. Investors are therefore cautioned not to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publicly update forward-looking statements, whether as a result of new information, future events or otherwise, except as required by law. Investors are advised, however, to consult any further disclosures Cabot makes on related subjects in future 10-K, 10-Q and 8-K reports filed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46611_6"/>
      <w:bookmarkEnd w:id="23"/>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Cabot is a global specialty chemicals and performance materials company headquartered in Boston, Massachusetts. Our principal products are reinforcing and specialty carbons, specialty compounds, conductive additives, carbon nanotubes, fumed metal oxides, inkjet colorants and aerogel. Cabot and its affiliates have manufacturing facilities and operations in the United States and over 20 other countries. Cabot’s business was founded in 1882 and incorporated in the State of Delaware in 1960. </w:t>
      </w:r>
    </w:p>
    <w:p>
      <w:pPr>
        <w:pStyle w:val="TextBody"/>
        <w:bidi w:val="0"/>
        <w:spacing w:before="240" w:after="0"/>
        <w:jc w:val="left"/>
        <w:rPr>
          <w:rFonts w:ascii="Times New Roman" w:hAnsi="Times New Roman"/>
          <w:sz w:val="20"/>
        </w:rPr>
      </w:pPr>
      <w:r>
        <w:rPr>
          <w:rFonts w:ascii="Times New Roman" w:hAnsi="Times New Roman"/>
          <w:sz w:val="20"/>
        </w:rPr>
        <w:t xml:space="preserve">In early fiscal 2022, we introduced our “Creating for Tomorrow” growth strategy. This strategy is focused on investing for advantaged growth, developing innovative products and processes that enable a better future, and driving continuous improvement in all we do. Our products are generally based on technical expertise and innovation in one or more of our four core competencies: making and handling very fine particles; modifying the surfaces of very fine particles to alter their functionality; designing particles to impart specific properties to a formulation; and combining particles with other ingredients to deliver a formulated performance intermediate or composite. We focus on creating particles, and formulations of those particles, with the composition, morphology, and surface functionalities to deliver the requisite performance to support our customers’ existing and emerging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currently organized into two reportable segments: Reinforcement Materials and Performance Chemicals.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46611_7"/>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the Company intends to use the net proceeds from the sale of any Securities for general corporate purposes, which may include the repayment of outstanding debt, or for such other purposes as may be specified in the applicable Prospectus Supplement. Pending such uses, the proceeds may be invested temporarily in short-term securities or applied to repay short-term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46611_8"/>
      <w:bookmarkEnd w:id="25"/>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we may offer from time to time is a summary and does not purport to be complete. It is subject to and qualified in its entirety by reference to our Restated Certificate of Incorporation (our “Certificate of Incorporation”) and our By-laws (our “By-laws”), each of which have been filed with the Commission as exhibits to our Annual Report on Form 10-K for the year ended September 30, 2023. Please refer to “Where You Can Find More Information” above for directions on obtaining these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Shares </w:t>
      </w:r>
    </w:p>
    <w:p>
      <w:pPr>
        <w:pStyle w:val="TextBody"/>
        <w:bidi w:val="0"/>
        <w:spacing w:before="120" w:after="0"/>
        <w:jc w:val="left"/>
        <w:rPr>
          <w:rFonts w:ascii="Times New Roman" w:hAnsi="Times New Roman"/>
          <w:sz w:val="20"/>
        </w:rPr>
      </w:pPr>
      <w:r>
        <w:rPr>
          <w:rFonts w:ascii="Times New Roman" w:hAnsi="Times New Roman"/>
          <w:sz w:val="20"/>
        </w:rPr>
        <w:t xml:space="preserve">The capital stock authorized by our Certificate of Incorporation consists of 200,000,000 shares of Common Stock and 2,000,000 shares of Preferred Stock. The outstanding shares of our Common Stock are fully paid and nonassessable. As of September 30, 2023, there were 55,243,804 shares of our Common Stock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provide for the issuance of such Preferred Stock in one or more series, each series to have such voting powers, full or limited, or no voting powers, such designations, preferences and relative participating, optional or other special rights, and such qualifications, limitations or restrictions thereof, and to be subject to such terms of redemption, if any, as shall be specified by the Board of Directors and stated and expressed in the vote or votes of the Board of Directors providing for the issue of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offer a specific class or series of Preferred Stock under this prospectus, we will describe the terms of the Preferred Stock in the prospectus supplement for such offering and will file a copy of the certificate establishing the terms of the Preferred Stock with the Commission. To the extent appropriate,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offered, the liquidation preference per share and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for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liquidation, dissolution or winding up of the affairs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limitations on issuance of any class or series of Preferred Stock ranking senior to or on a parity with the series of preferred stock as to dividend rights and rights upon liquidation, dissolution or winding up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i/>
          <w:sz w:val="20"/>
        </w:rPr>
        <w:t xml:space="preserve">. </w:t>
      </w:r>
      <w:r>
        <w:rPr>
          <w:rFonts w:ascii="Times New Roman" w:hAnsi="Times New Roman"/>
          <w:sz w:val="20"/>
        </w:rPr>
        <w:t xml:space="preserve">Holders of Common Stock are entitled to one vote per share on all matters voted on by the stockholders, including the election of directors. Our Common Stock does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i/>
          <w:sz w:val="20"/>
        </w:rPr>
        <w:t xml:space="preserve">. </w:t>
      </w:r>
      <w:r>
        <w:rPr>
          <w:rFonts w:ascii="Times New Roman" w:hAnsi="Times New Roman"/>
          <w:sz w:val="20"/>
        </w:rPr>
        <w:t xml:space="preserve">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 </w:t>
      </w:r>
    </w:p>
    <w:p>
      <w:pPr>
        <w:pStyle w:val="TextBody"/>
        <w:bidi w:val="0"/>
        <w:spacing w:before="240" w:after="0"/>
        <w:jc w:val="left"/>
        <w:rPr>
          <w:rFonts w:ascii="Times New Roman" w:hAnsi="Times New Roman"/>
          <w:sz w:val="20"/>
        </w:rPr>
      </w:pPr>
      <w:r>
        <w:rPr>
          <w:rFonts w:ascii="Times New Roman" w:hAnsi="Times New Roman"/>
          <w:b/>
          <w:i/>
          <w:sz w:val="20"/>
        </w:rPr>
        <w:t>Liquidation Rights</w:t>
      </w:r>
      <w:r>
        <w:rPr>
          <w:rFonts w:ascii="Times New Roman" w:hAnsi="Times New Roman"/>
          <w:i/>
          <w:sz w:val="20"/>
        </w:rPr>
        <w:t xml:space="preserve">. </w:t>
      </w:r>
      <w:r>
        <w:rPr>
          <w:rFonts w:ascii="Times New Roman" w:hAnsi="Times New Roman"/>
          <w:sz w:val="20"/>
        </w:rPr>
        <w:t xml:space="preserve">Subject to the rights of holders of outstanding shares of Preferred Stock, if any, holders of Common Stock will share ratably in all assets legally available for distribution to our stockholders in the event of dissolution. </w:t>
      </w:r>
    </w:p>
    <w:p>
      <w:pPr>
        <w:pStyle w:val="TextBody"/>
        <w:bidi w:val="0"/>
        <w:spacing w:before="240" w:after="0"/>
        <w:jc w:val="left"/>
        <w:rPr>
          <w:rFonts w:ascii="Times New Roman" w:hAnsi="Times New Roman"/>
          <w:sz w:val="20"/>
        </w:rPr>
      </w:pPr>
      <w:r>
        <w:rPr>
          <w:rFonts w:ascii="Times New Roman" w:hAnsi="Times New Roman"/>
          <w:b/>
          <w:i/>
          <w:sz w:val="20"/>
        </w:rPr>
        <w:t>Other Rights and Preferences.</w:t>
      </w:r>
      <w:r>
        <w:rPr>
          <w:rFonts w:ascii="Times New Roman" w:hAnsi="Times New Roman"/>
          <w:sz w:val="20"/>
        </w:rPr>
        <w:t xml:space="preserve"> Our Common Stock has no sinking fund or redemption provisions or preemptive, conversion or exchange rights.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120" w:after="0"/>
        <w:jc w:val="left"/>
        <w:rPr>
          <w:rFonts w:ascii="Times New Roman" w:hAnsi="Times New Roman"/>
          <w:sz w:val="20"/>
        </w:rPr>
      </w:pPr>
      <w:r>
        <w:rPr>
          <w:rFonts w:ascii="Times New Roman" w:hAnsi="Times New Roman"/>
          <w:b/>
          <w:i/>
          <w:sz w:val="20"/>
        </w:rPr>
        <w:t>Classified Board.</w:t>
      </w:r>
      <w:r>
        <w:rPr>
          <w:rFonts w:ascii="Times New Roman" w:hAnsi="Times New Roman"/>
          <w:sz w:val="20"/>
        </w:rPr>
        <w:t xml:space="preserve"> Our Certificate of Incorporation and By-laws provide that the Board of Directors is divided into three classes of directors, with the classes as nearly equal in number as possible. As a result, approximately one-third of our directors will be elected each year. The classification of directors will have the effect of making it more difficult for stockholders to change the composition of the Board of Directors. Our By-laws also provide that the number of directors which shall constitute the whole Board of Directors shall be no be less than three nor more than 17 in number and, within such limits, the number of directors will be fixed exclusively pursuant to a resolution adopted by the Board of Directors. The Board of Directors currently consists of 12 members. </w:t>
      </w:r>
    </w:p>
    <w:p>
      <w:pPr>
        <w:pStyle w:val="TextBody"/>
        <w:bidi w:val="0"/>
        <w:spacing w:before="240" w:after="0"/>
        <w:jc w:val="left"/>
        <w:rPr>
          <w:rFonts w:ascii="Times New Roman" w:hAnsi="Times New Roman"/>
          <w:sz w:val="20"/>
        </w:rPr>
      </w:pPr>
      <w:r>
        <w:rPr>
          <w:rFonts w:ascii="Times New Roman" w:hAnsi="Times New Roman"/>
          <w:b/>
          <w:i/>
          <w:sz w:val="20"/>
        </w:rPr>
        <w:t>Vote Required for Certain Business Combinations.</w:t>
      </w:r>
      <w:r>
        <w:rPr>
          <w:rFonts w:ascii="Times New Roman" w:hAnsi="Times New Roman"/>
          <w:sz w:val="20"/>
        </w:rPr>
        <w:t> Our Certificate of Incorporation generally requires the affirmative vote of the holders of at least 66 2/3 percent of the voting power of our stock to approve certain business combinations, including mergers and asset or securities sales of greater than $20,000,000 in aggregate fair market value, involving an interested stockholder. The definition of interested stockholder includes any beneficial owner of more than 10 percent of the voting power of our stock and any of our affiliates that was a 10 percent beneficial owner in the last two years. This 66 2/3 vote is not required, however, if the business combination was approved by a majority of continuing directors (as defined in our Certificate of Incorporation) or certain price and procedural safeguards are satisfied.</w:t>
      </w:r>
    </w:p>
    <w:p>
      <w:pPr>
        <w:pStyle w:val="TextBody"/>
        <w:bidi w:val="0"/>
        <w:spacing w:before="240" w:after="0"/>
        <w:jc w:val="left"/>
        <w:rPr>
          <w:rFonts w:ascii="Times New Roman" w:hAnsi="Times New Roman"/>
          <w:sz w:val="20"/>
        </w:rPr>
      </w:pPr>
      <w:r>
        <w:rPr>
          <w:rFonts w:ascii="Times New Roman" w:hAnsi="Times New Roman"/>
          <w:b/>
          <w:i/>
          <w:sz w:val="20"/>
        </w:rPr>
        <w:t>Action by Written Consent; Special Meetings of Stockholders.</w:t>
      </w:r>
      <w:r>
        <w:rPr>
          <w:rFonts w:ascii="Times New Roman" w:hAnsi="Times New Roman"/>
          <w:sz w:val="20"/>
        </w:rPr>
        <w:t xml:space="preserve"> Our Certificate of Incorporation and By-laws provide that stockholder action may be taken only at an annual or special meeting of stockholders and may not be taken by written consent in lieu of a meeting. Our By-laws also provide that special meetings of the stockholders can only be called pursuant to a resolution duly adopted by the Board of Directors. </w:t>
      </w:r>
    </w:p>
    <w:p>
      <w:pPr>
        <w:pStyle w:val="TextBody"/>
        <w:bidi w:val="0"/>
        <w:spacing w:before="240" w:after="0"/>
        <w:jc w:val="left"/>
        <w:rPr>
          <w:rFonts w:ascii="Times New Roman" w:hAnsi="Times New Roman"/>
          <w:sz w:val="20"/>
        </w:rPr>
      </w:pPr>
      <w:r>
        <w:rPr>
          <w:rFonts w:ascii="Times New Roman" w:hAnsi="Times New Roman"/>
          <w:b/>
          <w:i/>
          <w:sz w:val="20"/>
        </w:rPr>
        <w:t>Removal of Directors.</w:t>
      </w:r>
      <w:r>
        <w:rPr>
          <w:rFonts w:ascii="Times New Roman" w:hAnsi="Times New Roman"/>
          <w:sz w:val="20"/>
        </w:rPr>
        <w:t xml:space="preserve"> Our By-laws provide that our directors may be removed from office with cause by the vote of the holders of a majority of our shares issued and outstanding and entitled to vote in the election of directors. </w:t>
      </w:r>
    </w:p>
    <w:p>
      <w:pPr>
        <w:pStyle w:val="TextBody"/>
        <w:bidi w:val="0"/>
        <w:spacing w:before="240" w:after="0"/>
        <w:jc w:val="left"/>
        <w:rPr>
          <w:rFonts w:ascii="Times New Roman" w:hAnsi="Times New Roman"/>
          <w:sz w:val="20"/>
        </w:rPr>
      </w:pPr>
      <w:r>
        <w:rPr>
          <w:rFonts w:ascii="Times New Roman" w:hAnsi="Times New Roman"/>
          <w:b/>
          <w:i/>
          <w:sz w:val="20"/>
        </w:rPr>
        <w:t>Advance Notice Procedures.</w:t>
      </w:r>
      <w:r>
        <w:rPr>
          <w:rFonts w:ascii="Times New Roman" w:hAnsi="Times New Roman"/>
          <w:sz w:val="20"/>
        </w:rPr>
        <w:t xml:space="preserve"> Our By-laws establish an advance notice procedure for stockholder proposals to be brought before an annual meeting of our stockholders, including proposed nominations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for election to the Board of Directors. Stockholders at an annual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To be timely, (i) with respect to an annual meeting of the stockholders, a stockholder’s notice must generally be received at our principal executive offices not less than 90 days nor more than 120 days prior to the anniversary date of our immediately preceding annual meeting of stockholders, and (ii) with respect to a special meeting of the stockholders, a stockholder’s notice must be received at our principal executive offices by the close of business on the 10th day following the day on which public disclosure of the date of such meeting was made. In addition, for business to be properly brought before a meeting by a stockholder, the stockholder must appear at the meeting to present such business. Although our By-laws do not give the Board of Directors the power to approve or disapprove stockholder nominations of candidates or proposals regarding other business to be conducted at a special or annual meeting,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p>
      <w:pPr>
        <w:pStyle w:val="TextBody"/>
        <w:bidi w:val="0"/>
        <w:spacing w:before="200" w:after="0"/>
        <w:jc w:val="left"/>
        <w:rPr>
          <w:rFonts w:ascii="Times New Roman" w:hAnsi="Times New Roman"/>
          <w:sz w:val="20"/>
        </w:rPr>
      </w:pPr>
      <w:r>
        <w:rPr>
          <w:rFonts w:ascii="Times New Roman" w:hAnsi="Times New Roman"/>
          <w:b/>
          <w:i/>
          <w:sz w:val="20"/>
        </w:rPr>
        <w:t>Super Majority Approval Requirements.</w:t>
      </w:r>
      <w:r>
        <w:rPr>
          <w:rFonts w:ascii="Times New Roman" w:hAnsi="Times New Roman"/>
          <w:sz w:val="20"/>
        </w:rPr>
        <w:t xml:space="preserve"> The Delaware General Corporation Law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Certificate of Incorporation and By-laws provide that the affirmative vote of holders of at least 75 percent of the total votes eligible to be cast in the election of directors is required to amend, alter, change or repeal specified provisions in our Certificate of Incorporation and all provisions in our By-laws. This requirement of a supermajority vote to approve amendments to our Certificate of Incorporation and By-laws could enable a minority of our stockholders to exercise veto power over any such amendments. </w:t>
      </w:r>
    </w:p>
    <w:p>
      <w:pPr>
        <w:pStyle w:val="TextBody"/>
        <w:bidi w:val="0"/>
        <w:spacing w:before="200" w:after="0"/>
        <w:jc w:val="left"/>
        <w:rPr>
          <w:rFonts w:ascii="Times New Roman" w:hAnsi="Times New Roman"/>
          <w:sz w:val="20"/>
        </w:rPr>
      </w:pPr>
      <w:r>
        <w:rPr>
          <w:rFonts w:ascii="Times New Roman" w:hAnsi="Times New Roman"/>
          <w:b/>
          <w:i/>
          <w:sz w:val="20"/>
        </w:rPr>
        <w:t>Authorized but Unissued Shares.</w:t>
      </w:r>
      <w:r>
        <w:rPr>
          <w:rFonts w:ascii="Times New Roman" w:hAnsi="Times New Roman"/>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 </w:t>
      </w:r>
    </w:p>
    <w:p>
      <w:pPr>
        <w:pStyle w:val="TextBody"/>
        <w:bidi w:val="0"/>
        <w:spacing w:before="200" w:after="0"/>
        <w:jc w:val="left"/>
        <w:rPr>
          <w:rFonts w:ascii="Times New Roman" w:hAnsi="Times New Roman"/>
          <w:sz w:val="20"/>
        </w:rPr>
      </w:pPr>
      <w:r>
        <w:rPr>
          <w:rFonts w:ascii="Times New Roman" w:hAnsi="Times New Roman"/>
          <w:b/>
          <w:i/>
          <w:sz w:val="20"/>
        </w:rPr>
        <w:t>Exclusive Forum.</w:t>
      </w:r>
      <w:r>
        <w:rPr>
          <w:rFonts w:ascii="Times New Roman" w:hAnsi="Times New Roman"/>
          <w:sz w:val="20"/>
        </w:rPr>
        <w:t xml:space="preserve"> Our By-laws provide that unless we consent in writing to the selection of an alternative forum,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of our directors or officers or other employees arising pursuant to any provision of the DGCL or our Certificate of Incorporation or By-laws (as either may be amended from time to time), or (iv) any action asserting a claim against us or any of our directors or officers or other employees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Although we believe this provision benefits us by providing increased consistency in the application of Delaware law in the types of lawsuits to which it applies, the provision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is traded on The New York Stock Exchange under the trading symbol “CBT.”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46611_9"/>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we may offer from time to time would be issued under an Indenture, dated June 22, 2022 (the “Indenture”) (as amended or supplemented from time to time, the “Indenture”) entered into between Cabot and U.S. Bank Trust Company, National Association as trustee (the “Trustee”), attached as an exhibit to the Registration Statement which contains this Prospectus. The Indenture is subject to, and governed by, the Trust Indenture Act of 1939, as amended. The following summary of certain provisions of the Debt Securities and the Indenture does not purport to be complete and is qualified in its entirety by reference to the actual provisions of the Debt Securities and the Indenture. Capitalized terms used but not defined herein have the meanings given to them in the Indenture. The following sets forth certain general terms and provision of the Debt Securities to which any Prospectus Supplement may relate. We may offer the Debt Securities in one or more series, as either senior or subordinated debt. The particular terms of the Debt Securities offered by any Prospectus Supplement, which we refer to as the “Offered Securities,” and the extent, if any, to which such general provisions may apply to the Debt Securities so offered, will be described in the Prospectus Supplement relating to such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Prospectus Supplement for the following terms of the Offered Securities: (1) the aggregate principal amount of the Offered Securities; (2) the percentage of their principal amount at which the Offered Securities will be issued, if issued at a discount from their principal amount; (3) the date on which the Offered Securities will mature; (4) the rate or rates (which may be fixed or variable) per annum at which the Offered Securities will bear interest, if any, or the method by which such interest rates will be determined; (5) the times at which such interest, if any, will be payable; (6) the date, if any, after which the Offered Securities may be redeemed at the option of Cabot or the Holder (as defined in the Indenture) and the redemption price; (7) the terms of any redemption, whether mandatory or optional; (8) the denominations in which the Offered Securities are authorized to be issued; (9) if other than U.S. dollars, the currency (including composite currencies) in which payment of principal of (and premium if any) and interest (if any) on such Offered Securities shall be payable; (10) the terms and conditions, if any, upon which the Offered Securities may be subordinated in right of payment to other indebtedness of the Company; and (11) any other terms of the Offered Securities not inconsistent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Prospectus Supplement, the Offered Securities will be issued in fully registered form only, in denominations set forth in the Prospectus Supplement, and may be transferred or exchanged upon payment of a fee, if applicable, to cover any tax or other governmental charge in connection therewith (Section 2.07 of the Indenture). Except as otherwise provided in the Prospectus Supplement principal, premium (if any) and interest (if any) will be payable, and the Offered Securities may be exchanged or transferred, at the principal office of the Trustee in New York, New York, or at a paying agency maintained by Cabot, except that, at Cabot’s option, interest may be paid by its check mailed to the registered Holders of the Offered Securities (Sections 2.04 and 4.02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in addition to any Debt Securities offered hereby, additional debt securities may be issued thereunder, without limitation as to the aggregate principal amount. The Indenture does not limit the incurrence by the Company or subsidiaries of other unsecured debt and does not limit the incurrence of secured debt by subsidiaries of Cabot which are not Restricted Subsidiaries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Permanent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of a series are issuable in permanent global form, the Prospectus Supplement relating thereto will describe the circumstances, if any, under which beneficial owners of interests in any such permanent global Debt Security may exchange such interests for Debt Securities of such series and like tenor of any authorized form and denomination. A person having a beneficial interest in a permanent global Debt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except with respect to payment of premium (if any) and interest (if any) on such permanent global Debt Security, be treated as a holder of such principal amount of outstanding Debt Securities represented by such permanent global Debt Security as shall be specified in a written statement of the Holder of such permanent global Debt Security. Principal of and premium (if any) and interest (if any) on a permanent global Debt Security will be payable in the manner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Defined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terms are defined in more detail in Section 4.01 of the Indenture: </w:t>
      </w:r>
    </w:p>
    <w:p>
      <w:pPr>
        <w:pStyle w:val="TextBody"/>
        <w:bidi w:val="0"/>
        <w:spacing w:before="120" w:after="0"/>
        <w:jc w:val="left"/>
        <w:rPr/>
      </w:pPr>
      <w:r>
        <w:rPr/>
        <w:t>“</w:t>
      </w:r>
      <w:r>
        <w:rPr>
          <w:rFonts w:ascii="Times New Roman" w:hAnsi="Times New Roman"/>
          <w:sz w:val="20"/>
        </w:rPr>
        <w:t xml:space="preserve">Consolidated Net Tangible Assets” means total assets of Cabot and its Restricted Subsidiaries less (1) total current liabilities (excluding long-term debt due within 12 months), (2) certain intangibles and (3) equity in and net advances to subsidiaries that are not Restricted Subsidiaries. </w:t>
      </w:r>
    </w:p>
    <w:p>
      <w:pPr>
        <w:pStyle w:val="TextBody"/>
        <w:bidi w:val="0"/>
        <w:spacing w:before="240" w:after="0"/>
        <w:jc w:val="left"/>
        <w:rPr/>
      </w:pPr>
      <w:r>
        <w:rPr/>
        <w:t>“</w:t>
      </w:r>
      <w:r>
        <w:rPr>
          <w:rFonts w:ascii="Times New Roman" w:hAnsi="Times New Roman"/>
          <w:sz w:val="20"/>
        </w:rPr>
        <w:t xml:space="preserve">Debt” means any debt for money borrowed and any guarantees of such debt but excludes non-recourse debt for money borrowed incurred (1) to develop or exploit oil, gas, or other mineral property or (2) to develop electrical generating facilities. </w:t>
      </w:r>
    </w:p>
    <w:p>
      <w:pPr>
        <w:pStyle w:val="TextBody"/>
        <w:bidi w:val="0"/>
        <w:spacing w:before="240" w:after="0"/>
        <w:jc w:val="left"/>
        <w:rPr/>
      </w:pPr>
      <w:r>
        <w:rPr/>
        <w:t>“</w:t>
      </w:r>
      <w:r>
        <w:rPr>
          <w:rFonts w:ascii="Times New Roman" w:hAnsi="Times New Roman"/>
          <w:sz w:val="20"/>
        </w:rPr>
        <w:t xml:space="preserve">Exempted Debt” means the total of the following incurred after the effective date of the Indenture: (1) the outstanding principal amount of Debt of Cabot and its Restricted Subsidiaries secured by any Lien other than a Lien permitted under clauses (1) through (9) below under the subcaption “Limitations on Liens,” and (2) the aggregate present value of rent due under leases of Cabot and its Restricted Subsidiaries for the remaining term of such leases, other than rent arising from a permitted Sale-Leaseback Transaction described in clauses (1) through (4) below under the subcaption “Limitation on Sale and Leaseback.” </w:t>
      </w:r>
    </w:p>
    <w:p>
      <w:pPr>
        <w:pStyle w:val="TextBody"/>
        <w:bidi w:val="0"/>
        <w:spacing w:before="240" w:after="0"/>
        <w:jc w:val="left"/>
        <w:rPr/>
      </w:pPr>
      <w:r>
        <w:rPr/>
        <w:t>“</w:t>
      </w:r>
      <w:r>
        <w:rPr>
          <w:rFonts w:ascii="Times New Roman" w:hAnsi="Times New Roman"/>
          <w:sz w:val="20"/>
        </w:rPr>
        <w:t xml:space="preserve">Lien” means any mortgage, pledge, security interest, or lien. </w:t>
      </w:r>
    </w:p>
    <w:p>
      <w:pPr>
        <w:pStyle w:val="TextBody"/>
        <w:bidi w:val="0"/>
        <w:spacing w:before="240" w:after="0"/>
        <w:jc w:val="left"/>
        <w:rPr/>
      </w:pPr>
      <w:r>
        <w:rPr/>
        <w:t>“</w:t>
      </w:r>
      <w:r>
        <w:rPr>
          <w:rFonts w:ascii="Times New Roman" w:hAnsi="Times New Roman"/>
          <w:sz w:val="20"/>
        </w:rPr>
        <w:t xml:space="preserve">Principal Property” means (1) real property, plants or buildings located in the United States and owned or leased by Cabot or a Restricted Subsidiary with a gross book value, excluding depreciation, in excess of 2% of Consolidated Net Tangible Assets or (2) any other property designated as such, subject to certain exceptions set forth in the Indenture. </w:t>
      </w:r>
    </w:p>
    <w:p>
      <w:pPr>
        <w:pStyle w:val="TextBody"/>
        <w:bidi w:val="0"/>
        <w:spacing w:before="240" w:after="0"/>
        <w:jc w:val="left"/>
        <w:rPr/>
      </w:pPr>
      <w:r>
        <w:rPr/>
        <w:t>“</w:t>
      </w:r>
      <w:r>
        <w:rPr>
          <w:rFonts w:ascii="Times New Roman" w:hAnsi="Times New Roman"/>
          <w:sz w:val="20"/>
        </w:rPr>
        <w:t xml:space="preserve">Restricted Property” means any Principal Property and Debt or stock of a Restricted Subsidiary. </w:t>
      </w:r>
    </w:p>
    <w:p>
      <w:pPr>
        <w:pStyle w:val="TextBody"/>
        <w:bidi w:val="0"/>
        <w:spacing w:before="240" w:after="0"/>
        <w:jc w:val="left"/>
        <w:rPr/>
      </w:pPr>
      <w:r>
        <w:rPr/>
        <w:t>“</w:t>
      </w:r>
      <w:r>
        <w:rPr>
          <w:rFonts w:ascii="Times New Roman" w:hAnsi="Times New Roman"/>
          <w:sz w:val="20"/>
        </w:rPr>
        <w:t xml:space="preserve">Restricted Subsidiary” means a Subsidiary the assets of which are primarily located in, or the business of which is primarily carried on in, the United States, that is not engaged in certain businesses of finance, real estate or insurance, and any Subsidiary that may be designated in the future as a Restricted Subsidiary by Cabot’s Board of Directors. </w:t>
      </w:r>
    </w:p>
    <w:p>
      <w:pPr>
        <w:pStyle w:val="TextBody"/>
        <w:bidi w:val="0"/>
        <w:spacing w:before="240" w:after="0"/>
        <w:jc w:val="left"/>
        <w:rPr/>
      </w:pPr>
      <w:r>
        <w:rPr/>
        <w:t>“</w:t>
      </w:r>
      <w:r>
        <w:rPr>
          <w:rFonts w:ascii="Times New Roman" w:hAnsi="Times New Roman"/>
          <w:sz w:val="20"/>
        </w:rPr>
        <w:t xml:space="preserve">Sale-Leaseback Transaction” means an arrangement pursuant to which Cabot or a Restricted Subsidiary transfers Principal Property to a third person and leases it back from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Prospectus Supplement, the following covenants of Cabot described under this caption are applicable to Debt Securities of all series issued under the Indenture. The covenants in the Indenture apply to Cabot and its Restricted Subsidiaries. </w:t>
      </w:r>
    </w:p>
    <w:p>
      <w:pPr>
        <w:pStyle w:val="TextBody"/>
        <w:bidi w:val="0"/>
        <w:spacing w:before="240" w:after="0"/>
        <w:jc w:val="left"/>
        <w:rPr>
          <w:rFonts w:ascii="Times New Roman" w:hAnsi="Times New Roman"/>
          <w:sz w:val="20"/>
        </w:rPr>
      </w:pPr>
      <w:r>
        <w:rPr>
          <w:rFonts w:ascii="Times New Roman" w:hAnsi="Times New Roman"/>
          <w:i/>
          <w:sz w:val="20"/>
        </w:rPr>
        <w:t>Limitation on Liens</w:t>
      </w:r>
      <w:r>
        <w:rPr>
          <w:rFonts w:ascii="Times New Roman" w:hAnsi="Times New Roman"/>
          <w:sz w:val="20"/>
        </w:rPr>
        <w:t xml:space="preserve">. Cabot may not, and may not permit any Restricted Subsidiary to, incur a Lien on Restricted Property to secure a Debt without making effective provision to secure the Debt Securities equally and ratably with such Debt unless: (1) the Lien is on property, Debt or stock of a corporation at the time such corporation becomes a Restricted Subsidiary; (2) the Lien is on such property at the time Cabot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acquires or leases such property; (3) the Lien secures Debt incurred to finance all or some of the purchase price or cost of construction or improvement of property of Cabot or a Restricted Subsidiary (including substantially unimproved real property of Cabot or a Restricted Subsidiary); (4) the Lien secures a Debt of a Restricted Subsidiary owing to Cabot or another wholly owned Restricted Subsidiary; (5) the Lien is on property of a corporation at the time such corporation merges into or consolidates with Cabot or a Restricted Subsidiary; (6) the Lien is on property of a person at the time the person transfers or leases all or substantially all of its assets to Cabot or a Restricted Subsidiary; (7) the Lien is in favor of a government or governmental entity and secures (i) payments pursuant to a contract or statute, or (ii) Debt incurred to finance all or some of the purchase price or cost of construction of the property subject to the Lien; (8) the Lien extends, renews, refunds or replaces (or successive extensions, renewals, refunds or replacements) in whole or in part a Lien referred to in clauses (1) through (7) above; or (9) the Lien is on oil, gas or other mineral property or on products or by-products produced or extracted from that property to secure non-recourse Debt or is on any electrical generating facility to secure non-recourse debt. Notwithstanding the above provisions, Cabot or any Restricted Subsidiary may, without equally and ratably securing the Debt Securities, grant a Lien securing Debt which would otherwise be prohibited by the limitations described above if, at the time of granting such Lien and after giving effect to any Debt secured by such Lien, Exempted Debt does not exceed 15% of Consolidated Net Tangible Assets (Section 4.03 of the Indenture). </w:t>
      </w:r>
    </w:p>
    <w:p>
      <w:pPr>
        <w:pStyle w:val="TextBody"/>
        <w:bidi w:val="0"/>
        <w:spacing w:before="240" w:after="0"/>
        <w:jc w:val="left"/>
        <w:rPr>
          <w:rFonts w:ascii="Times New Roman" w:hAnsi="Times New Roman"/>
          <w:sz w:val="20"/>
        </w:rPr>
      </w:pPr>
      <w:r>
        <w:rPr>
          <w:rFonts w:ascii="Times New Roman" w:hAnsi="Times New Roman"/>
          <w:i/>
          <w:sz w:val="20"/>
        </w:rPr>
        <w:t>Limitation on Sale and Leaseback</w:t>
      </w:r>
      <w:r>
        <w:rPr>
          <w:rFonts w:ascii="Times New Roman" w:hAnsi="Times New Roman"/>
          <w:sz w:val="20"/>
        </w:rPr>
        <w:t xml:space="preserve">. Cabot may not and may not permit any Restricted Subsidiary to, enter into a Sale-Leaseback Transaction unless: (1) the lease has a term including renewal rights of three years or less; (2) the lease is between Cabot and a Restricted Subsidiary or between Restricted Subsidiaries; (3) Cabot or the Restricted Subsidiary, pursuant to clause (3) or (7) contained under the subcaption “Limitation on Liens” above, could create a Lien on the Property to secure Debt; or (4) Cabot or a Restricted Subsidiary receiving the proceeds from such Sale-Leaseback Transaction, within 180 days after it is consummated, applies, or commits to apply, the proceeds or, if greater, the fair market value of the property as determined by Cabot’s Board of Directors, to (a) the acquisition of Restricted Property, including the acquisition, construction, development or improvement of Principal Property, or (b) if permitted by the terms thereof, the redemption of securities of any series under the redemption provisions of the Indenture and such securities or the retirement or redemption of other Long-Term Debt of Cabot or a Restricted Subsidiary. However, no credit may be received for (i) the retirement of other Long-Term Debt at maturity or the redemption of securities or other Long-Term Debt pursuant to any mandatory redemption provision, or (ii) the retirement or redemption of any Long-Term Debt that is subordinated or junior to the securities or owed by Cabot to a Restricted Subsidiary. Notwithstanding the above prohibitions, Cabot or any Restricted Subsidiary may enter into a Sale-Leaseback Transaction if, at the time of entering into the transaction and after giving effect to it, Exempted Debt does not exceed 15% of Consolidated Net Tangible Assets (Section 4.04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Cabot may not consolidate with or merge into, or transfer all or substantially all of its assets to, another entity unless (i) the successor entity assumes all of the obligations of Cabot under the Indenture and Debt Securities, (ii) immediately after giving effect to the transaction, no Default would occur and be continuing (the term Default includes Events of Default specified below with grace periods), and (iii) the surviving entity is organized under the laws of the United States, any State, the District of Columbia, Canada, any province of Canada or any state which was a member of the European Union on December 31, 2003 (other than Greece). Thereafter all such obligations of Cabot terminate (Section 5.01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upon any such consolidation, merger or transfer, any Principal Property would become subject to an attaching Lien that secures Debt, then prior to such event Cabot must secure the Debt Securities by a direct Lien on such Principal Property. The direct Lien may equally and ratably secure the Debt Securities and any other obligation of Cabot or a Subsidiary entitled to such security. However, Cabot need not so secure the Debt Securities if (1) the attaching Lien is permitted under any of clauses (1) through (9) described under the subcaption “Limitation on Liens,” or (2) Cabot or a Restricted Subsidiary could incur Debt secured by a Lien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limitations described under the subcaption “Limitation on Liens,” because after giving effect to such Debt, Exempted Debt would not exceed 15% of Consolidated Net Tangible Assets (Section 5.02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defined in the Indenture as “Events of Default” with respect to any series of Debt Securities then outstanding: failure to pay interest when due on such series, continued for thirty days; failure to pay principal (other than a sinking fund payment) or any premium when due on such series; failure to make any sinking fund payment when due on such series, continued for 30 days; failure to comply with any of Cabot’s other agreements in the Indenture or Debt Securities for 90 days after notice by the Trustee or Holders of at least 25% in principal amount of Debt Securities of such series then outstanding; default by Cabot or a Restricted Subsidiary under an agreement for money borrowed (including the Indenture) in excess of $250,000,000 resulting in the acceleration of the due date of such debt, if not cured; and certain events of bankruptcy or insolvency of Cabot (Section 6.01 of the Indenture). If an Event of Default occurs and is continuing with respect to any series of Debt Securities, the Trustee or the Holders owning at least 25% in principal amount of the Debt Securities of such series then outstanding may declare the principal of and accrued interest on the Debt Securities of the respective series (or, if any of the Debt Securities of that series are original issue discount Debt Securities, such portion of the principal amount of such Debt Securities as may be specified in the terms thereof) to be due and payable immediately, but the Holders of a majority in principal amount of such series of Debt Securities then outstanding may, subject to certain conditions, rescind such declaration if the default is cured (Section 6.02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with respect to each series, the Trustee shall, within 90 days after the occurrence of a Default known to it, give Holders of the Debt Securities notice of Default; however, the Trustee may withhold from Holders of the Debt Securities notice of any continuing Default (except a Default in the payment of principal, interest or premium, if any) if it determines that withholding notice is in their interest (Section 7.05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Debt Securities of any series may not enforce the Indenture or the Debt Securities of such series except as provided in the Indenture. The Trustee may require indemnity satisfactory to it from the Holders requesting the Trustee to enforce the Indenture or Debt Securities before doing so (Section 6.06 of the Indenture). With respect to any series, Holders owning a majority in principal amount of the Debt Securities of that series then outstanding may waive existing past Events of Default with respect to such series except a default in the payment of principal, premium, if any, or interest on any of the Debt Securities of such series (Section 6.04 of the Indenture). Holders of a majority in principal amount of the Debt Securities of a series then outstanding shall have the right, subject to certain limitations, to direct the time, method and place of conducting any proceeding for any remedy available to the Trustee or of exercising any trust or power conferred on the Trustee with respect to that series (Section 6.05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Cabot must file annually with the Trustee a statement regarding compliance with the terms of the Indenture with respect to each series outstanding and specifying any default of which the signers may have knowledge (Section 4.06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Cabot and the Trustee may amend or supplement the Indenture for various purposes not inconsistent with the terms of the Indenture, but none of such changes may adversely affect the rights of any Holder. The Indenture further provides that Cabot and the Trustee may, with the consent of Holders of at least a majority in principal amount of the Debt Securities of a series then outstanding, amend the Indenture with respect to that series, except that no amendment may, without the consent of each Holder affected, (i) reduce the aforesaid percentage below a majority, (ii) modify the terms of payment of principal of, premium, if 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on any Debt Security, (iii) waive a default in the payment of the principal of, premium, if any, or interest on any Debt Security (Article 9 of the Indenture), (iv) change the provisions applicable to the redemption of any Debt Security or (v) make any Debt Security payable in money other than that stated in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Cabot, at its option, may terminate all of its obligations under the Debt Securities of any or all series and under the Indenture with respect to such series (except for certain obligations regarding the transfer and exchange of such Debt Securities, the obligation to pay amounts due under such Debt Securities and certain obligations relating to the Trustee) if (i) Cabot irrevocably deposits in trust with the Trustee money or direct obligations of the United States of America sufficient to pay all principal of (including any mandatory sinking funds payments) and interest and premium, if any, on such Debt Securities to maturity or redemption, or (ii) all Debt Securities of such series previously authenticated and delivered (other than destroyed, lost or stolen Securities of such series which have been replaced or paid) have been delivered to the Trustee for cancellation .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one or more series of Debt Securities and a successor Trustee may be appointed to act with respect to such one or more series (Section 7.08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We may, from time to time, borrow from or maintain deposit accounts and conduct other banking transactions with U.S. Bank Trust Company, National Association or its affiliates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46611_10"/>
      <w:bookmarkEnd w:id="27"/>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offer from time to time. Particular terms of the Warrants will be described in the applicable warrant agreements and the applicable Prospectus Supplement for the Warrants. We urge you to read the applicable Prospectus Supplement related to the Warrants that we may sell under this prospectus, as well as the complete warrant agreements that will contain the terms of any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Common Stock, Preferred Stock or Debt Securities in one or more series together with other Securities or separately, as described in each applicable Prospectus Supplement. Below is a description of certain general terms and provisions of the Warrants that we may offer.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appropriate, 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Common Stock and the number of shares of Common Stock to be received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Preferred Stock, the number of shares of Preferred Stock to be received upon exercise, and a description of that class or series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our Debt Securities to be received upon exercise,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Common Stock, the Preferred Stock and/or the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46611_11"/>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Units we may offer from time to time. Particular terms of the Units will be described in the applicable unit agreements and the applicable Prospectus Supplement for the Units. We urge you to read the applicable Prospectus Supplement related to the Units that we may sell under this prospectus, as well as the complete unit agreements that will contain the terms of any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issue Units directly or under a unit agreement to be entered into between us and a unit agent. We will name any unit agent in the applicable Prospectus Supplement. Any unit agent will act solely as our agent in connection with the Units of a particular series and will not assume any obligation or relationship of agency or trust for or with any holders or beneficial owners of Units.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issue Units in such amounts and in such numerous distinct series as we determine.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appropriate, the applicable Prospectus Supplement will contain, where applicable, the following terms and other information relating to the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46611_12"/>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sell Securities to or through one or more underwriters or dealers for public offering and sale by or through them, directly to one or more individual, institutional or other purchasers, through agents or through any combination of these methods of sale. The distribution of Securities may be effected from time to time in one or more transactions at a fixed price or prices, which may be changed, at market prices prevailing at the time of sale or at prices related to such prevailing market prices, or at negotiated prices (any of which may represent a discount from the prevailing market prices). In addition, the Company may sell any Securities covered by this Prospectus in private transactions or pursuant to other exemptions from registration under the Securities Act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underwriters or agents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Company, and any profit on the resale of Securities they realize may be deemed to be underwriting discounts and commissions, under the Securities Act. Any such underwriter or agent will be identified, and any such compensation received from the Company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related Prospectus Supplement, the Preferred Stock, Debt Securities, Warrants or Units will be a new issue with no established trading market. The Company may elect to list any such Preferred Stock, Debt Securities, Warrants and Units on an exchange, but is not obligated to do so. It is possible that one or more underwriters may make a market in such Preferred Stock, Debt Securities, Warrants and Units, but will not be obligated to do so and may discontinue any market making at any time without notice. Therefore, no assurance can be given as to the liquidity of, or the trading market for, the Preferred Stock, Debt Securities, Warrants and Units.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into which the Company may enter, underwriters will be, and dealers and agents who participate in the distribution of Securities may be, entitled to indemnification by the Company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and their affiliates may engage in transactions with, or perform services for, the Company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distribution of the Securities covered by this Prospectus or otherwise, the Company may enter into hedging transactions with broker-dealers or other financial institutions. In connection with such transactions, broker-dealers or other financial institutions may engage in short sales of the Company’s Securities in the course of hedging the positions they assume with the Company. The Company may also sell Securities and deliver the Securities offered by this Prospectus to close out its short positions. The Company may also enter into option or other transactions with broker-dealers or other financial institutions, which require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 of the Securities covered by this Prospectus is made, the Company will distribute a Prospectus Supplement that will set forth the aggregate amount of Securities covered by this Prospectus being offered and the terms of the offering. Such Prospectus Supplement will be filed with the Commission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may not be sold unless they have been registered or qualified for sale in the applicable state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underwritten offering, the Company would execute an underwriting agreement with an underwriter or underwriters. Unless otherwise indicated in the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The Company may grant to the underwriter or underwriters an option to purchase additional Securities at the public offering price, less any underwriting discount, as may be set forth in the applicable Prospectus Supplement. If the Company grants any such option, the terms of that option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46611_13"/>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offered by this Prospectus and any Prospectus Supplement will be passed upon for the Company by Ropes &amp; Gray LLP. If the Securities are being distributed in an underwritten offering, certain legal matters will be passed upon for the underwriters by counsel identified in the related Prospectus Supplement. </w:t>
      </w:r>
    </w:p>
    <w:p>
      <w:pPr>
        <w:pStyle w:val="TextBody"/>
        <w:bidi w:val="0"/>
        <w:spacing w:before="480" w:after="0"/>
        <w:jc w:val="center"/>
        <w:rPr>
          <w:rFonts w:ascii="Times New Roman" w:hAnsi="Times New Roman"/>
          <w:b/>
          <w:sz w:val="20"/>
        </w:rPr>
      </w:pPr>
      <w:bookmarkStart w:id="31" w:name="tx146611_14"/>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Cabot Corporation incorporated by reference in this Prospectus, and the effectiveness of Cabot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8695" cy="6057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2" w:name="d146611dexfilingfees.htm"/>
      <w:bookmarkStart w:id="33" w:name="ksd146611dexfilingfees"/>
      <w:bookmarkStart w:id="34" w:name="d146611dexfilingfees.htm"/>
      <w:bookmarkStart w:id="35" w:name="ksd146611dexfilingfees"/>
      <w:bookmarkEnd w:id="34"/>
      <w:bookmarkEnd w:id="35"/>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CABOT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96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61" w:type="dxa"/>
            <w:tcBorders/>
            <w:shd w:fill="E7E7E2" w:val="clear"/>
            <w:vAlign w:val="center"/>
          </w:tcPr>
          <w:p>
            <w:pPr>
              <w:pStyle w:val="TableContents"/>
              <w:bidi w:val="0"/>
              <w:spacing w:before="0" w:after="283"/>
              <w:jc w:val="left"/>
              <w:rPr/>
            </w:pPr>
            <w:r>
              <w:rPr/>
              <w:t xml:space="preserve">4.9500%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350,000,000 </w:t>
            </w:r>
          </w:p>
        </w:tc>
        <w:tc>
          <w:tcPr>
            <w:tcW w:w="1156" w:type="dxa"/>
            <w:tcBorders/>
            <w:shd w:fill="E7E7E2" w:val="clear"/>
            <w:vAlign w:val="center"/>
          </w:tcPr>
          <w:p>
            <w:pPr>
              <w:pStyle w:val="TableContents"/>
              <w:bidi w:val="0"/>
              <w:spacing w:before="0" w:after="283"/>
              <w:jc w:val="right"/>
              <w:rPr/>
            </w:pPr>
            <w:r>
              <w:rPr/>
              <w:t xml:space="preserve">$ 0.99993 </w:t>
            </w:r>
          </w:p>
        </w:tc>
        <w:tc>
          <w:tcPr>
            <w:tcW w:w="1786" w:type="dxa"/>
            <w:tcBorders/>
            <w:shd w:fill="E7E7E2" w:val="clear"/>
            <w:vAlign w:val="center"/>
          </w:tcPr>
          <w:p>
            <w:pPr>
              <w:pStyle w:val="TableContents"/>
              <w:bidi w:val="0"/>
              <w:spacing w:before="0" w:after="283"/>
              <w:jc w:val="right"/>
              <w:rPr/>
            </w:pPr>
            <w:r>
              <w:rPr/>
              <w:t xml:space="preserve">$ 349,975,500.00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$ 48,332.00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6" w:name="MaxAggtOfferingPrice"/>
            <w:bookmarkEnd w:id="36"/>
            <w:r>
              <w:rPr/>
              <w:t xml:space="preserve">$ 349,975,500.00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$ 48,332.00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$ 48,332.00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
        <w:gridCol w:w="1295"/>
        <w:gridCol w:w="8691"/>
      </w:tblGrid>
      <w:tr>
        <w:trPr/>
        <w:tc>
          <w:tcPr>
            <w:tcW w:w="21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6" w:type="dxa"/>
            <w:gridSpan w:val="2"/>
            <w:tcBorders/>
            <w:vAlign w:val="center"/>
          </w:tcPr>
          <w:p>
            <w:pPr>
              <w:pStyle w:val="TableContents"/>
              <w:bidi w:val="0"/>
              <w:spacing w:before="0" w:after="283"/>
              <w:jc w:val="left"/>
              <w:rPr/>
            </w:pPr>
            <w:r>
              <w:rPr/>
              <w:t xml:space="preserve">These "Calculation of Filing Fee Tables" shall be deemed to update the "Calculation of Filing Fee Tables" table in Cabot Corporation's Registration Statement on Form S-3ASR (333-276078), as amended, which was filed on December 15, 2023. </w:t>
            </w:r>
          </w:p>
        </w:tc>
      </w:tr>
      <w:tr>
        <w:trPr/>
        <w:tc>
          <w:tcPr>
            <w:tcW w:w="1514" w:type="dxa"/>
            <w:gridSpan w:val="2"/>
            <w:tcBorders/>
            <w:vAlign w:val="center"/>
          </w:tcPr>
          <w:p>
            <w:pPr>
              <w:pStyle w:val="HorizontalLine"/>
              <w:pBdr>
                <w:bottom w:val="double" w:sz="2" w:space="0" w:color="808080"/>
              </w:pBdr>
              <w:bidi w:val="0"/>
              <w:spacing w:before="0" w:after="283"/>
              <w:jc w:val="left"/>
              <w:rPr/>
            </w:pPr>
            <w:r>
              <w:rPr/>
            </w:r>
          </w:p>
        </w:tc>
        <w:tc>
          <w:tcPr>
            <w:tcW w:w="869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$349,975,500.00.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040/000119312525292412/cbt-20250930.htm" TargetMode="External"/><Relationship Id="rId4" Type="http://schemas.openxmlformats.org/officeDocument/2006/relationships/hyperlink" Target="http://www.sec.gov/Archives/edgar/data/../../../ix?doc=/Archives/edgar/data/16040/000119312526037240/cbt-20251231.htm" TargetMode="External"/><Relationship Id="rId5" Type="http://schemas.openxmlformats.org/officeDocument/2006/relationships/hyperlink" Target="http://www.sec.gov/Archives/edgar/data/../../../ix?doc=/Archives/edgar/data/16040/000119312526209067/cbt-20260331.htm" TargetMode="External"/><Relationship Id="rId6" Type="http://schemas.openxmlformats.org/officeDocument/2006/relationships/hyperlink" Target="http://www.sec.gov/Archives/edgar/data/../../../ix?doc=/Archives/edgar/data/16040/000119312526332489/cbt-20260630.htm" TargetMode="External"/><Relationship Id="rId7" Type="http://schemas.openxmlformats.org/officeDocument/2006/relationships/hyperlink" Target="http://www.sec.gov/Archives/edgar/data/../../../ix?doc=/Archives/edgar/data/16040/000119312526023681/d38269ddef14a.htm" TargetMode="External"/><Relationship Id="rId8" Type="http://schemas.openxmlformats.org/officeDocument/2006/relationships/hyperlink" Target="http://www.sec.gov/Archives/edgar/data/../../../ix?doc=/Archives/edgar/data/16040/000119312526012994/cbt-20260108.htm" TargetMode="External"/><Relationship Id="rId9" Type="http://schemas.openxmlformats.org/officeDocument/2006/relationships/hyperlink" Target="http://www.sec.gov/Archives/edgar/data/../../../ix?doc=/Archives/edgar/data/16040/000119312526110647/cbt-20260312.htm" TargetMode="External"/><Relationship Id="rId10" Type="http://schemas.openxmlformats.org/officeDocument/2006/relationships/hyperlink" Target="http://www.sec.gov/Archives/edgar/data/../../../ix?doc=/Archives/edgar/data/16040/000119312526222854/d31752d8k.htm" TargetMode="External"/><Relationship Id="rId11" Type="http://schemas.openxmlformats.org/officeDocument/2006/relationships/hyperlink" Target="http://www.sec.gov/Archives/edgar/data/../../../ix?doc=/Archives/edgar/data/16040/000119312526325036/d25963d8k.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16040/000095017023065844/cbt-20230930.htm" TargetMode="External"/><Relationship Id="rId14" Type="http://schemas.openxmlformats.org/officeDocument/2006/relationships/hyperlink" Target="http://www.sec.gov/Archives/edgar/data/16040/000119312523015965/d260764ddef14a.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33694</Words>
  <Characters>177996</Characters>
  <CharactersWithSpaces>212206</CharactersWithSpaces>
  <Paragraphs>1959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