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Keohane Sean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12"/>
        <w:gridCol w:w="934"/>
        <w:gridCol w:w="803"/>
        <w:gridCol w:w="620"/>
        <w:gridCol w:w="338"/>
        <w:gridCol w:w="799"/>
        <w:gridCol w:w="407"/>
        <w:gridCol w:w="643"/>
        <w:gridCol w:w="1454"/>
        <w:gridCol w:w="955"/>
        <w:gridCol w:w="14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2,779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1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291,652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2,779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85.5</w:t>
            </w:r>
          </w:p>
        </w:tc>
        <w:tc>
          <w:tcPr>
            <w:tcW w:w="1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288,873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14,263.7411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the Trustee for the Corporation's 401(k)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134,895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137,674 shares were subject to the option. The option vested over a three year period as follows: 30% on November 10, 2018, 30% on November 10, 2019, and 40% on November 10, 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Mazda Cintron, pursuant to a power of attorney from Sean D. Keohane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737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3451</Characters>
  <CharactersWithSpaces>4007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